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hyperlink r:id="rId5" w:history="1">
        <w:r w:rsidRPr="00C51D66">
          <w:rPr>
            <w:rFonts w:ascii="Arial" w:hAnsi="Arial" w:cs="Arial"/>
            <w:i/>
            <w:iCs/>
            <w:color w:val="008000"/>
            <w:sz w:val="24"/>
            <w:szCs w:val="24"/>
          </w:rPr>
          <w:t>Постановлением</w:t>
        </w:r>
      </w:hyperlink>
      <w:r w:rsidRPr="00C51D66">
        <w:rPr>
          <w:rFonts w:ascii="Arial" w:hAnsi="Arial" w:cs="Arial"/>
          <w:i/>
          <w:iCs/>
          <w:color w:val="800080"/>
          <w:sz w:val="24"/>
          <w:szCs w:val="24"/>
        </w:rPr>
        <w:t xml:space="preserve"> Правительства Ханты-Мансийского АО - Югры от 3 ноября 2011 г. N 414-п в заголовок настоящего постановление внесены изменения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>См. текст заголовка в предыдущей редакции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 xml:space="preserve">Постановление Правительства Ханты-Мансийского АО - Югры от 29 октября 2010 г. N 269-п 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 xml:space="preserve">"О целевой программе Ханты-Мансийского автономного округа - Югры 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 xml:space="preserve">"Развитие физической культуры и спорта в Ханты-Мансийском автономном 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>округе - Югре" на 2011-2013 годы и на период до 2015 года"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>(с изменениями от 13 мая, 18 июня, 3 ноября, 16 декабря 2011 г.)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 xml:space="preserve">В соответствии с </w:t>
      </w:r>
      <w:hyperlink r:id="rId6" w:history="1">
        <w:r w:rsidRPr="00C51D66">
          <w:rPr>
            <w:rFonts w:ascii="Arial" w:hAnsi="Arial" w:cs="Arial"/>
            <w:color w:val="008000"/>
            <w:sz w:val="24"/>
            <w:szCs w:val="24"/>
          </w:rPr>
          <w:t>Федеральным законом</w:t>
        </w:r>
      </w:hyperlink>
      <w:r w:rsidRPr="00C51D66">
        <w:rPr>
          <w:rFonts w:ascii="Arial" w:hAnsi="Arial" w:cs="Arial"/>
          <w:sz w:val="24"/>
          <w:szCs w:val="24"/>
        </w:rPr>
        <w:t xml:space="preserve"> от 4 декабря 2007 года N 329-ФЗ "О физической культуре и спорте в Российской Федерации", </w:t>
      </w:r>
      <w:hyperlink r:id="rId7" w:history="1">
        <w:r w:rsidRPr="00C51D66">
          <w:rPr>
            <w:rFonts w:ascii="Arial" w:hAnsi="Arial" w:cs="Arial"/>
            <w:color w:val="008000"/>
            <w:sz w:val="24"/>
            <w:szCs w:val="24"/>
          </w:rPr>
          <w:t>постановлением</w:t>
        </w:r>
      </w:hyperlink>
      <w:r w:rsidRPr="00C51D66">
        <w:rPr>
          <w:rFonts w:ascii="Arial" w:hAnsi="Arial" w:cs="Arial"/>
          <w:sz w:val="24"/>
          <w:szCs w:val="24"/>
        </w:rPr>
        <w:t xml:space="preserve"> Правительства Ханты-Мансийского автономного округа - Югры от 30 ноября 2007 года N 306-п "О целевых и ведомственных целевых программах Ханты-Мансийского автономного округа - Югры", в целях создания условий для перехода сферы физической культуры и спорта в автономном округе на инновационную модель развития, направленную на улучшение здоровья нации, повышение уровня и качества жизни жителей Ханты-Мансийского автономного округа - Югры, повышение конкурентоспособности спорта и престижа автономного округа на российской и международной аренах, обеспечения реализации Федеральной целевой </w:t>
      </w:r>
      <w:hyperlink r:id="rId8" w:history="1">
        <w:r w:rsidRPr="00C51D66">
          <w:rPr>
            <w:rFonts w:ascii="Arial" w:hAnsi="Arial" w:cs="Arial"/>
            <w:color w:val="008000"/>
            <w:sz w:val="24"/>
            <w:szCs w:val="24"/>
          </w:rPr>
          <w:t>программы</w:t>
        </w:r>
      </w:hyperlink>
      <w:r w:rsidRPr="00C51D66">
        <w:rPr>
          <w:rFonts w:ascii="Arial" w:hAnsi="Arial" w:cs="Arial"/>
          <w:sz w:val="24"/>
          <w:szCs w:val="24"/>
        </w:rPr>
        <w:t xml:space="preserve"> "Развитие физической культуры и спорта в Российской Федерации" на 2006 - 2015 годы, утвержденной </w:t>
      </w:r>
      <w:hyperlink r:id="rId9" w:history="1">
        <w:r w:rsidRPr="00C51D66">
          <w:rPr>
            <w:rFonts w:ascii="Arial" w:hAnsi="Arial" w:cs="Arial"/>
            <w:color w:val="008000"/>
            <w:sz w:val="24"/>
            <w:szCs w:val="24"/>
          </w:rPr>
          <w:t>постановлением</w:t>
        </w:r>
      </w:hyperlink>
      <w:r w:rsidRPr="00C51D66">
        <w:rPr>
          <w:rFonts w:ascii="Arial" w:hAnsi="Arial" w:cs="Arial"/>
          <w:sz w:val="24"/>
          <w:szCs w:val="24"/>
        </w:rPr>
        <w:t xml:space="preserve"> Правительства Российской Федерации от 11 января 2006 года N 7, Правительство Ханты-Мансийского автономного округа - Югры постановляет:</w:t>
      </w:r>
    </w:p>
    <w:bookmarkStart w:id="0" w:name="sub_1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begin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instrText>HYPERLINK "garantF1://18831363.1"</w:instrTex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separate"/>
      </w:r>
      <w:r w:rsidRPr="00C51D66">
        <w:rPr>
          <w:rFonts w:ascii="Arial" w:hAnsi="Arial" w:cs="Arial"/>
          <w:i/>
          <w:iCs/>
          <w:color w:val="008000"/>
          <w:sz w:val="24"/>
          <w:szCs w:val="24"/>
        </w:rPr>
        <w:t>Постановлением</w: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end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 xml:space="preserve"> Правительства Ханты-Мансийского АО - Югры от 3 ноября 2011 г. N 414-п в пункт 1 настоящего постановление внесены изменения</w:t>
      </w:r>
    </w:p>
    <w:bookmarkEnd w:id="0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>См. текст пункта в предыдущей редакции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 xml:space="preserve">1. Утвердить целевую </w:t>
      </w:r>
      <w:hyperlink w:anchor="sub_1000" w:history="1">
        <w:r w:rsidRPr="00C51D66">
          <w:rPr>
            <w:rFonts w:ascii="Arial" w:hAnsi="Arial" w:cs="Arial"/>
            <w:color w:val="008000"/>
            <w:sz w:val="24"/>
            <w:szCs w:val="24"/>
          </w:rPr>
          <w:t>программу</w:t>
        </w:r>
      </w:hyperlink>
      <w:r w:rsidRPr="00C51D66">
        <w:rPr>
          <w:rFonts w:ascii="Arial" w:hAnsi="Arial" w:cs="Arial"/>
          <w:sz w:val="24"/>
          <w:szCs w:val="24"/>
        </w:rPr>
        <w:t xml:space="preserve"> Ханты-Мансийского автономного округа - Югры "Развитие физической культуры и спорта в Ханты-Мансийском автономном округе - Югре" на 2011-2013 годы и на период до 2015 года (далее - Программа) (прилагается).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" w:name="sub_2"/>
      <w:r w:rsidRPr="00C51D66">
        <w:rPr>
          <w:rFonts w:ascii="Arial" w:hAnsi="Arial" w:cs="Arial"/>
          <w:sz w:val="24"/>
          <w:szCs w:val="24"/>
        </w:rPr>
        <w:t>2. Определить государственным заказчиком Программы Департамент физической культуры и спорта Ханты-Мансийского автономного округа - Югры.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" w:name="sub_3"/>
      <w:bookmarkEnd w:id="1"/>
      <w:r w:rsidRPr="00C51D66">
        <w:rPr>
          <w:rFonts w:ascii="Arial" w:hAnsi="Arial" w:cs="Arial"/>
          <w:sz w:val="24"/>
          <w:szCs w:val="24"/>
        </w:rPr>
        <w:t>3. Рекомендовать органам местного самоуправления автономного округа утвердить аналогичные муниципальные программы и предусмотреть в местных бюджетах средства на их реализацию.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" w:name="sub_4"/>
      <w:bookmarkEnd w:id="2"/>
      <w:r w:rsidRPr="00C51D66">
        <w:rPr>
          <w:rFonts w:ascii="Arial" w:hAnsi="Arial" w:cs="Arial"/>
          <w:sz w:val="24"/>
          <w:szCs w:val="24"/>
        </w:rPr>
        <w:t>4. Настоящее постановление вступает в силу с 1 января 2011 года.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" w:name="sub_5"/>
      <w:bookmarkEnd w:id="3"/>
      <w:r w:rsidRPr="00C51D66">
        <w:rPr>
          <w:rFonts w:ascii="Arial" w:hAnsi="Arial" w:cs="Arial"/>
          <w:sz w:val="24"/>
          <w:szCs w:val="24"/>
        </w:rPr>
        <w:t xml:space="preserve">5. </w:t>
      </w:r>
      <w:hyperlink r:id="rId10" w:history="1">
        <w:r w:rsidRPr="00C51D66">
          <w:rPr>
            <w:rFonts w:ascii="Arial" w:hAnsi="Arial" w:cs="Arial"/>
            <w:color w:val="008000"/>
            <w:sz w:val="24"/>
            <w:szCs w:val="24"/>
          </w:rPr>
          <w:t>Опубликовать</w:t>
        </w:r>
      </w:hyperlink>
      <w:r w:rsidRPr="00C51D66">
        <w:rPr>
          <w:rFonts w:ascii="Arial" w:hAnsi="Arial" w:cs="Arial"/>
          <w:sz w:val="24"/>
          <w:szCs w:val="24"/>
        </w:rPr>
        <w:t xml:space="preserve"> настоящее постановление в газете "Новости Югры".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" w:name="sub_6"/>
      <w:bookmarkEnd w:id="4"/>
      <w:r w:rsidRPr="00C51D66">
        <w:rPr>
          <w:rFonts w:ascii="Arial" w:hAnsi="Arial" w:cs="Arial"/>
          <w:sz w:val="24"/>
          <w:szCs w:val="24"/>
        </w:rPr>
        <w:t xml:space="preserve">6. </w:t>
      </w:r>
      <w:hyperlink r:id="rId11" w:history="1">
        <w:r w:rsidRPr="00C51D66">
          <w:rPr>
            <w:rFonts w:ascii="Arial" w:hAnsi="Arial" w:cs="Arial"/>
            <w:color w:val="008000"/>
            <w:sz w:val="24"/>
            <w:szCs w:val="24"/>
          </w:rPr>
          <w:t>Утратил силу</w:t>
        </w:r>
      </w:hyperlink>
      <w:r w:rsidRPr="00C51D66">
        <w:rPr>
          <w:rFonts w:ascii="Arial" w:hAnsi="Arial" w:cs="Arial"/>
          <w:sz w:val="24"/>
          <w:szCs w:val="24"/>
        </w:rPr>
        <w:t>.</w:t>
      </w:r>
    </w:p>
    <w:bookmarkEnd w:id="5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>См. текст пункта 6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13"/>
        <w:gridCol w:w="3306"/>
      </w:tblGrid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И.о. Губернатора</w:t>
            </w:r>
            <w:r w:rsidRPr="00C51D66">
              <w:rPr>
                <w:rFonts w:ascii="Arial" w:hAnsi="Arial" w:cs="Arial"/>
                <w:sz w:val="24"/>
                <w:szCs w:val="24"/>
              </w:rPr>
              <w:br/>
              <w:t>Ханты-Мансийского</w:t>
            </w:r>
            <w:r w:rsidRPr="00C51D66">
              <w:rPr>
                <w:rFonts w:ascii="Arial" w:hAnsi="Arial" w:cs="Arial"/>
                <w:sz w:val="24"/>
                <w:szCs w:val="24"/>
              </w:rPr>
              <w:br/>
              <w:t>автономного округа - Югры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И.С. Петров</w:t>
            </w:r>
          </w:p>
        </w:tc>
      </w:tr>
    </w:tbl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6" w:name="sub_1000"/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Приложение</w:t>
      </w:r>
    </w:p>
    <w:bookmarkEnd w:id="6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 xml:space="preserve">к </w:t>
      </w:r>
      <w:hyperlink w:anchor="sub_0" w:history="1">
        <w:r w:rsidRPr="00C51D66">
          <w:rPr>
            <w:rFonts w:ascii="Arial" w:hAnsi="Arial" w:cs="Arial"/>
            <w:b/>
            <w:bCs/>
            <w:color w:val="008000"/>
            <w:sz w:val="24"/>
            <w:szCs w:val="24"/>
          </w:rPr>
          <w:t>постановлению</w:t>
        </w:r>
      </w:hyperlink>
      <w:r w:rsidRPr="00C51D66">
        <w:rPr>
          <w:rFonts w:ascii="Arial" w:hAnsi="Arial" w:cs="Arial"/>
          <w:b/>
          <w:bCs/>
          <w:color w:val="000080"/>
          <w:sz w:val="24"/>
          <w:szCs w:val="24"/>
        </w:rPr>
        <w:t xml:space="preserve"> Правительства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Ханты-Мансийского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lastRenderedPageBreak/>
        <w:t>автономного округа - Югры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от 29 октября 2010 г. N 269-п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 xml:space="preserve">Целевая программа Ханты-Мансийского автономного 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 xml:space="preserve">округа - Югры "Развитие физической культуры и спорта 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 xml:space="preserve">в Ханты-Мансийском автономном округе - Югре" 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>на 2011 - 2013 годы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>(далее также - Программа)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>(с изменениями от 13 мая, 18 июня, 3 ноября, 16 декабря 2011 г.)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bookmarkStart w:id="7" w:name="sub_1020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begin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instrText>HYPERLINK "garantF1://18831580.11"</w:instrTex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separate"/>
      </w:r>
      <w:r w:rsidRPr="00C51D66">
        <w:rPr>
          <w:rFonts w:ascii="Arial" w:hAnsi="Arial" w:cs="Arial"/>
          <w:i/>
          <w:iCs/>
          <w:color w:val="008000"/>
          <w:sz w:val="24"/>
          <w:szCs w:val="24"/>
        </w:rPr>
        <w:t>Постановлением</w: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end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 xml:space="preserve"> Правительства Ханты-Мансийского АО - Югры от 16 декабря 2011 г. N 475-п в паспорт настоящего приложения внесены изменения</w:t>
      </w:r>
    </w:p>
    <w:bookmarkEnd w:id="7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>См. текст паспорта в предыдущей редакции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 xml:space="preserve">Паспорт Программы 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0"/>
        <w:gridCol w:w="5880"/>
      </w:tblGrid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Наименование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"Развитие физической культуры и спорта в Ханты-Мансийском автономном округе - Югре" на 2011 - 2013 годы и на период до 2015 года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Дата принятия решения о разработке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12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распоряжение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 Правительства Ханты-Мансийского автономного округа - Югры от 12 июня 2010 года N 190-рп "Об оценке результативности и эффективности реализации долгосрочных целевых программ автономного округа"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Разработчик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Департамент физической культуры и спорта Ханты-Мансийского автономного округа - Югры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Дата и номер правового акта об утверждении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Государственный заказчик - координатор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Департамент физической культуры и спорта Ханты-Мансийского автономного округа - Югры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Государственные заказчики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Департамент строительства, энергетики и жилищно-коммунального комплекса Ханты-Мансийского автономного округа - Югры;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муниципальные образования Ханты-Мансийского автономного округа - Югры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1. Создание условий, ориентирующих граждан на здоровый образ жизни, в том числе на занятия физической культурой и спортом, увеличение количества занимающихся физической культурой и спортом.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2. Создание условий для подготовки спортивного резерва и спортсменов высокого класса, для успешного выступления на Всероссийских и Международных соревнованиях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1. Развитие массовой физической культуры и спорта, спортивной инфраструктуры,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обеспечение комплексной безопасности и комфортных условий в учреждениях спорта, пропаганда здорового образа жизни.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2. Развитие детско-юношеского спорта, спорта лиц с инвалидностью и высших достижений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Ожидаемые непосредственные результаты реализации целевой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физкультурно-массовых и спортивных мероприятий различного уровня, проводимых на территории автономного округа, на 153 мероприятия, или на 67,4 %;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занимающихся физической культурой и спортом по месту жительства на 13 845 чел., или на 91,6 %;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занимающихся физической культурой и спортом лиц с инвалидностью на 1 321 чел., или на 66,8%;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занимающихся физической культурой и спортом в секциях образовательных учреждений на 18 510 чел., или на 25,9%;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тренеров по видам спорта и физкультурных работников по месту жительства на 401 чел., или на 25,7%;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спортивных сооружений на 303 единицы, или на 14,4%;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спортивных учреждений, прошедших добровольную сертификацию до 45единиц;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охвата учащихся практико-ориентированным мониторингом состояния физического здоровья населения, физического развития детей, подростков и молодежи в образовательных учреждениях автономного округа на 39 297 чел., или 39,8%;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детей, подростков и юношей, занимающихся в детско-юношеских спортивных школах, на 12 123 чел., или на 26,2%;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медалей, завоеванных спортсменами автономного округа на всероссийских и международных соревнованиях, на 180 медалей, или на 18,3 %;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спортсменов, включенных в основной и резервный состав юношеских сборных команд России по видам спорта, на 104 чел., или 114,3%;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медалей, завоеванных на всероссийских и международных соревнованиях спортсменами автономного округа старше 18 лет, на 160 медалей, или 23,3%;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увеличение количества спортсменов, включенных в основной и резервный состав сборных команд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России по видам спорта, на 65 чел., или 154,8%;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присвоенных спортивных званий спортсменам на 50 званий, или 75,8%;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тренерских, судейских семинаров, совещаний на 10 семинаров, или 23,3%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2011 - 2015 годы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общий объем финансирования Программы всего - 10 675 821,2 тыс. руб., в том числе: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Ханты-Мансийского автономного округа - Югры - 8 994 332,6 тыс. рублей;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федеральный бюджет - 900 000,0 тыс. рублей;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бюджет Тюменской области в рамках </w:t>
            </w:r>
            <w:hyperlink r:id="rId13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программы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 "Сотрудничество" - 625 670,0 тыс. рублей;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муниципальных образований Ханты-Мансийского автономного округа - Югры - 155 818,6 тыс. рублей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Ожидаемые конечные результаты реализации Программы (показатели социально-экономической эффективности)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- увеличение обеспеченности единовременной пропускной способности (ЕПС) спортивных сооружений с 21,0% до 25,3%;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- увеличение удельного веса населения, занимающегося физической культурой и спортом, с 19,9% до 30,0%;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- увеличение удельного веса лиц с инвалидностью, занимающихся физической культурой и спортом, с 4,3% до10,0%;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- увеличение доли детей, занимающихся в специализированных спортивных учреждениях, в общей численности детей 6 - 15 лет с 25,5% до 34,2%;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- увеличение обеспеченности тренерско-преподавательским составом с 39,7% до 47,1%;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- увеличение уровня удовлетворенности населения автономного округа качеством предоставляемых услуг в сфере физической культуры и спорта с 83,2% до 87,3%;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- увеличение доли спортивных учреждений, прошедших добровольную сертификацию, с 0% до 29,8%;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- увеличение удельного веса подростков и молодежи в возрасте 11 - 30 лет, занимающихся физической культурой и спортом, от общей численности данной категории лиц с 35,6% до 45,1%</w:t>
            </w:r>
          </w:p>
        </w:tc>
      </w:tr>
    </w:tbl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bookmarkStart w:id="8" w:name="sub_1030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begin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instrText>HYPERLINK "garantF1://18830529.122"</w:instrTex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separate"/>
      </w:r>
      <w:r w:rsidRPr="00C51D66">
        <w:rPr>
          <w:rFonts w:ascii="Arial" w:hAnsi="Arial" w:cs="Arial"/>
          <w:i/>
          <w:iCs/>
          <w:color w:val="008000"/>
          <w:sz w:val="24"/>
          <w:szCs w:val="24"/>
        </w:rPr>
        <w:t>Постановлением</w: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end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 xml:space="preserve"> Правительства Ханты-Мансийского АО - Югры от 13 мая 2011 г. N 158-п в раздел "Основные понятия, используемые в Программе" настоящего приложения внесены изменения</w:t>
      </w:r>
    </w:p>
    <w:bookmarkEnd w:id="8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lastRenderedPageBreak/>
        <w:t>См. текст раздела в предыдущей редакции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Основные понятия, используемые в Программе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Для целей настоящей Программы используются следующие основные понятия: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ЕПС спортивных сооружений</w:t>
      </w:r>
      <w:r w:rsidRPr="00C51D66">
        <w:rPr>
          <w:rFonts w:ascii="Arial" w:hAnsi="Arial" w:cs="Arial"/>
          <w:sz w:val="24"/>
          <w:szCs w:val="24"/>
        </w:rPr>
        <w:t xml:space="preserve"> - единовременная пропускная способность, характеризующая мощность спортивных сооружений (утвержденная распоряжением Правительства РФ N 1063-рп от 03.07.96).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Спортивное сооружение</w:t>
      </w:r>
      <w:r w:rsidRPr="00C51D66">
        <w:rPr>
          <w:rFonts w:ascii="Arial" w:hAnsi="Arial" w:cs="Arial"/>
          <w:sz w:val="24"/>
          <w:szCs w:val="24"/>
        </w:rPr>
        <w:t xml:space="preserve"> - инженерно-строительный объект, созданный для проведения физкультурных мероприятий и (или) спортивных мероприятий и имеющий пространственно-территориальные границы.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Спортивное соревнование</w:t>
      </w:r>
      <w:r w:rsidRPr="00C51D66">
        <w:rPr>
          <w:rFonts w:ascii="Arial" w:hAnsi="Arial" w:cs="Arial"/>
          <w:sz w:val="24"/>
          <w:szCs w:val="24"/>
        </w:rPr>
        <w:t xml:space="preserve"> - состязание среди спортсменов или команд спортсменов по различным видам спорта (спортивным дисциплинам) в целях выявления лучшего участника состязания, проводимое по утвержденному его организатором положению (регламенту).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Критерий отбора</w:t>
      </w:r>
      <w:r w:rsidRPr="00C51D66">
        <w:rPr>
          <w:rFonts w:ascii="Arial" w:hAnsi="Arial" w:cs="Arial"/>
          <w:sz w:val="24"/>
          <w:szCs w:val="24"/>
        </w:rPr>
        <w:t xml:space="preserve"> - признак, на основании которого сравнивается и оценивается потребность в ресурсном обеспечении.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Массовый спорт</w:t>
      </w:r>
      <w:r w:rsidRPr="00C51D66">
        <w:rPr>
          <w:rFonts w:ascii="Arial" w:hAnsi="Arial" w:cs="Arial"/>
          <w:sz w:val="24"/>
          <w:szCs w:val="24"/>
        </w:rPr>
        <w:t xml:space="preserve"> - спорт, направленный на физическое воспитание и физическое развитие граждан посредством проведения организованных и (или) самостоятельных занятий, а также участия в физкультурных и массовых спортивных мероприятиях.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Физическая культура</w:t>
      </w:r>
      <w:r w:rsidRPr="00C51D66">
        <w:rPr>
          <w:rFonts w:ascii="Arial" w:hAnsi="Arial" w:cs="Arial"/>
          <w:sz w:val="24"/>
          <w:szCs w:val="24"/>
        </w:rPr>
        <w:t xml:space="preserve"> - культура, представляющая собой совокупность ценностей, норм и знаний, создаваемых и используемых обществом в целях физического и интеллектуального развития способностей человека, совершенствования его двигательной активности информирования здорового образа жизни, социальной адаптации путем физического воспитания, физической подготовки и физического развития.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Регулярные занятия физической культурой и спортом</w:t>
      </w:r>
      <w:r w:rsidRPr="00C51D66">
        <w:rPr>
          <w:rFonts w:ascii="Arial" w:hAnsi="Arial" w:cs="Arial"/>
          <w:sz w:val="24"/>
          <w:szCs w:val="24"/>
        </w:rPr>
        <w:t xml:space="preserve"> - это процесс систематических занятий, способствующий физическому совершенствованию человека и сохранению физического здоровья, комплекс воспитательного, оздоровительного, профилактического и тренирующе-развивающего воздействия, направленный на морально - нравственное и естественно - природное оздоровление.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Спорт</w:t>
      </w:r>
      <w:r w:rsidRPr="00C51D66">
        <w:rPr>
          <w:rFonts w:ascii="Arial" w:hAnsi="Arial" w:cs="Arial"/>
          <w:sz w:val="24"/>
          <w:szCs w:val="24"/>
        </w:rPr>
        <w:t xml:space="preserve"> - сфера социально - культурной деятельности как совокупность видов спорта, сложившаяся в форме соревнований и специальной практики подготовки человека к ним.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Спорт высших достижений</w:t>
      </w:r>
      <w:r w:rsidRPr="00C51D66">
        <w:rPr>
          <w:rFonts w:ascii="Arial" w:hAnsi="Arial" w:cs="Arial"/>
          <w:sz w:val="24"/>
          <w:szCs w:val="24"/>
        </w:rPr>
        <w:t xml:space="preserve"> - спорт, направленный на достижение спортсменами высоких спортивных результатов на официальных спортивных соревнованиях.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Подготовка спортивного резерва</w:t>
      </w:r>
      <w:r w:rsidRPr="00C51D66">
        <w:rPr>
          <w:rFonts w:ascii="Arial" w:hAnsi="Arial" w:cs="Arial"/>
          <w:sz w:val="24"/>
          <w:szCs w:val="24"/>
        </w:rPr>
        <w:t xml:space="preserve"> - многолетний целенаправленный учебно-тренировочный процесс по видам спорта в организациях различных организационно-правовых форм, осуществляющих деятельность в области физической культуры и спорта.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Спортивные мероприятия</w:t>
      </w:r>
      <w:r w:rsidRPr="00C51D66">
        <w:rPr>
          <w:rFonts w:ascii="Arial" w:hAnsi="Arial" w:cs="Arial"/>
          <w:sz w:val="24"/>
          <w:szCs w:val="24"/>
        </w:rPr>
        <w:t xml:space="preserve"> - спортивные соревнования, а также учебно-тренировочные и другие мероприятия по подготовке к спортивным соревнованиям с участием спортсменов.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Спортсмен</w:t>
      </w:r>
      <w:r w:rsidRPr="00C51D66">
        <w:rPr>
          <w:rFonts w:ascii="Arial" w:hAnsi="Arial" w:cs="Arial"/>
          <w:sz w:val="24"/>
          <w:szCs w:val="24"/>
        </w:rPr>
        <w:t xml:space="preserve"> - лицо, занимающееся выбранным видом или видами спорта и выступающее на спортивных соревнованиях.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Тренер</w:t>
      </w:r>
      <w:r w:rsidRPr="00C51D66">
        <w:rPr>
          <w:rFonts w:ascii="Arial" w:hAnsi="Arial" w:cs="Arial"/>
          <w:sz w:val="24"/>
          <w:szCs w:val="24"/>
        </w:rPr>
        <w:t xml:space="preserve"> - лицо, имеющее соответствующее среднее профессиональное образование или высшее профессиональное образование и осуществляющее </w:t>
      </w:r>
      <w:r w:rsidRPr="00C51D66">
        <w:rPr>
          <w:rFonts w:ascii="Arial" w:hAnsi="Arial" w:cs="Arial"/>
          <w:sz w:val="24"/>
          <w:szCs w:val="24"/>
        </w:rPr>
        <w:lastRenderedPageBreak/>
        <w:t>проведение со спортсменами учебно-тренировочных мероприятий, а также осуществляющее руководство их состязательной деятельностью для достижения спортивных результатов.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bookmarkStart w:id="9" w:name="sub_1040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begin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instrText>HYPERLINK "garantF1://18830529.123"</w:instrTex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separate"/>
      </w:r>
      <w:r w:rsidRPr="00C51D66">
        <w:rPr>
          <w:rFonts w:ascii="Arial" w:hAnsi="Arial" w:cs="Arial"/>
          <w:i/>
          <w:iCs/>
          <w:color w:val="008000"/>
          <w:sz w:val="24"/>
          <w:szCs w:val="24"/>
        </w:rPr>
        <w:t>Постановлением</w: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end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 xml:space="preserve"> Правительства Ханты-Мансийского АО - Югры от 13 мая 2011 г. N 158-п в раздел "Введение" настоящего приложения внесены изменения</w:t>
      </w:r>
    </w:p>
    <w:bookmarkEnd w:id="9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>См. текст раздела в предыдущей редакции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Введение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Целевая программа Ханты-Мансийского автономного округа - Югры "Развитие физической культуры и спорта в Ханты-Мансийском автономном округе - Югре" на 2011-2013 годы является организационной основой государственной политики по созданию условий, направленных на улучшение здоровья нации, повышение уровня и качества жизни жителей Ханты-Мансийского автономного округа - Югры (далее также - автономный округ), повышение конкурентоспособности спорта и престижа автономного округа на российской и международной аренах.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Методологическую основу для разработки Программы составили следующие документы: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hyperlink r:id="rId14" w:history="1">
        <w:r w:rsidRPr="00C51D66">
          <w:rPr>
            <w:rFonts w:ascii="Arial" w:hAnsi="Arial" w:cs="Arial"/>
            <w:color w:val="008000"/>
            <w:sz w:val="24"/>
            <w:szCs w:val="24"/>
          </w:rPr>
          <w:t>Концепция</w:t>
        </w:r>
      </w:hyperlink>
      <w:r w:rsidRPr="00C51D66">
        <w:rPr>
          <w:rFonts w:ascii="Arial" w:hAnsi="Arial" w:cs="Arial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 (утверждена </w:t>
      </w:r>
      <w:hyperlink r:id="rId15" w:history="1">
        <w:r w:rsidRPr="00C51D66">
          <w:rPr>
            <w:rFonts w:ascii="Arial" w:hAnsi="Arial" w:cs="Arial"/>
            <w:color w:val="008000"/>
            <w:sz w:val="24"/>
            <w:szCs w:val="24"/>
          </w:rPr>
          <w:t>распоряжением</w:t>
        </w:r>
      </w:hyperlink>
      <w:r w:rsidRPr="00C51D66">
        <w:rPr>
          <w:rFonts w:ascii="Arial" w:hAnsi="Arial" w:cs="Arial"/>
          <w:sz w:val="24"/>
          <w:szCs w:val="24"/>
        </w:rPr>
        <w:t xml:space="preserve"> Правительства Российской Федерации от 17 ноября 2008 года N 1662-р). Концепция определила роль физической культуры и спорта в развитии человеческого потенциала;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hyperlink r:id="rId16" w:history="1">
        <w:r w:rsidRPr="00C51D66">
          <w:rPr>
            <w:rFonts w:ascii="Arial" w:hAnsi="Arial" w:cs="Arial"/>
            <w:color w:val="008000"/>
            <w:sz w:val="24"/>
            <w:szCs w:val="24"/>
          </w:rPr>
          <w:t>Стратегия</w:t>
        </w:r>
      </w:hyperlink>
      <w:r w:rsidRPr="00C51D66">
        <w:rPr>
          <w:rFonts w:ascii="Arial" w:hAnsi="Arial" w:cs="Arial"/>
          <w:sz w:val="24"/>
          <w:szCs w:val="24"/>
        </w:rPr>
        <w:t xml:space="preserve"> развития физической культуры и спорта до 2020 года. Разработана в соответствии с поручением Президента Российской Федерации по итогам совместного заседания президиума Государственного Совета Российской Федерации и Совета при Президенте Российской Федерации по развитию физической культуры и спорта, спорта высших достижений, подготовке и проведению XXII Олимпийских зимних игр и XI Паралимпийских зимних игр 2014 года в г. Сочи, состоявшегося 14 октября 2008 года;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 xml:space="preserve">Федеральная целевая </w:t>
      </w:r>
      <w:hyperlink r:id="rId17" w:history="1">
        <w:r w:rsidRPr="00C51D66">
          <w:rPr>
            <w:rFonts w:ascii="Arial" w:hAnsi="Arial" w:cs="Arial"/>
            <w:color w:val="008000"/>
            <w:sz w:val="24"/>
            <w:szCs w:val="24"/>
          </w:rPr>
          <w:t>программа</w:t>
        </w:r>
      </w:hyperlink>
      <w:r w:rsidRPr="00C51D66">
        <w:rPr>
          <w:rFonts w:ascii="Arial" w:hAnsi="Arial" w:cs="Arial"/>
          <w:sz w:val="24"/>
          <w:szCs w:val="24"/>
        </w:rPr>
        <w:t xml:space="preserve"> "Развитие физической культуры и спорта в Российской Федерации" на 2006-2015 годы, утвержденная </w:t>
      </w:r>
      <w:hyperlink r:id="rId18" w:history="1">
        <w:r w:rsidRPr="00C51D66">
          <w:rPr>
            <w:rFonts w:ascii="Arial" w:hAnsi="Arial" w:cs="Arial"/>
            <w:color w:val="008000"/>
            <w:sz w:val="24"/>
            <w:szCs w:val="24"/>
          </w:rPr>
          <w:t>постановлением</w:t>
        </w:r>
      </w:hyperlink>
      <w:r w:rsidRPr="00C51D66">
        <w:rPr>
          <w:rFonts w:ascii="Arial" w:hAnsi="Arial" w:cs="Arial"/>
          <w:sz w:val="24"/>
          <w:szCs w:val="24"/>
        </w:rPr>
        <w:t xml:space="preserve"> Правительства Российской Федерации от 11 января 2006 года N 7;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Стратегия социально-экономического развития Ханты-Мансийского автономного округа - Югры до 2020 года (утверждена распоряжением Правительства автономного округа от 14 ноября 2008 года N 491-рп).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bookmarkStart w:id="10" w:name="sub_1050"/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Раздел 1. Характеристика проблемы, на решение которой направлена программа</w:t>
      </w:r>
    </w:p>
    <w:bookmarkEnd w:id="10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bookmarkStart w:id="11" w:name="sub_1051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begin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instrText>HYPERLINK "garantF1://18831363.123"</w:instrTex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separate"/>
      </w:r>
      <w:r w:rsidRPr="00C51D66">
        <w:rPr>
          <w:rFonts w:ascii="Arial" w:hAnsi="Arial" w:cs="Arial"/>
          <w:i/>
          <w:iCs/>
          <w:color w:val="008000"/>
          <w:sz w:val="24"/>
          <w:szCs w:val="24"/>
        </w:rPr>
        <w:t>Постановлением</w: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end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 xml:space="preserve"> Правительства Ханты-Мансийского АО - Югры от 3 ноября 2011 г. N 414-п в пункт 1.1 раздела I настоящего приложения внесены изменения</w:t>
      </w:r>
    </w:p>
    <w:bookmarkEnd w:id="11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>См. текст пункта в предыдущей редакции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1.1. Массовая физическая культура и спорт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 xml:space="preserve">В основу Программы заложен перевод сферы физической культуры и спорта в автономном округе на инновационную модель развития. При разработке Программы учтены вопросы, направленные на улучшение здоровья нации, повышение уровня и </w:t>
      </w:r>
      <w:r w:rsidRPr="00C51D66">
        <w:rPr>
          <w:rFonts w:ascii="Arial" w:hAnsi="Arial" w:cs="Arial"/>
          <w:sz w:val="24"/>
          <w:szCs w:val="24"/>
        </w:rPr>
        <w:lastRenderedPageBreak/>
        <w:t>качества жизни жителей автономного округа, повышение конкурентоспособности спорта и престижа автономного округа на российской и международной арене.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 настоящее время имеется ряд проблем, влияющих на развитие физической культуры и спорта в автономном округе, требующих неотложного решения, в том числе: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несоответствие уровня инфраструктуры для занятий физической культурой и массовым спортом задачам развития физической культуры и массового спорта в автономном округе;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недостаточное привлечение детей и подростков к регулярным занятиям физической культурой и спортом;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отсутствие активной пропаганды занятий физической культурой и спортом, как составляющей здорового образа жизни.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 автономном округе работают 2097 спортивных сооружений. Из общего количества спортивных сооружений 12% или 253 сооружения являются приспособленными, т.е. не отвечают нормам эпидемиологической и пожарной безопасности. По результатам проверок 242 муниципальных объектов спорта надзорными органами в 2009 году в 36 выявлено 675 нарушений правил пожарной безопасности и 201 - замечания санитарно-эпидемиологической безопасности. Не устранены более 30 замечаний капитального характера.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 течении</w:t>
      </w:r>
      <w:hyperlink r:id="rId19" w:history="1">
        <w:r w:rsidRPr="00C51D66">
          <w:rPr>
            <w:rFonts w:ascii="Arial" w:hAnsi="Arial" w:cs="Arial"/>
            <w:color w:val="008000"/>
            <w:sz w:val="24"/>
            <w:szCs w:val="24"/>
          </w:rPr>
          <w:t>#</w:t>
        </w:r>
      </w:hyperlink>
      <w:r w:rsidRPr="00C51D66">
        <w:rPr>
          <w:rFonts w:ascii="Arial" w:hAnsi="Arial" w:cs="Arial"/>
          <w:sz w:val="24"/>
          <w:szCs w:val="24"/>
        </w:rPr>
        <w:t xml:space="preserve"> 2009-2010гг. решением суда была приостановлена деятельность двух учреждений спорта из-за грубых нарушений пожарной и санитарно-эпидемиологической безопасности. Выявлена потребность в оснащении учреждений спорта современным противопожарным оборудованием, средствами защиты и пожаротушения, приборами учета энергоресурсов, средствами защиты от несанкционированных проникновений, террористических актов и других посягательств на жизнь и здоровье участников образовательного процесса. Ряд учреждений спорта требуют капитальных вложений для приведения материально-технической базы в соответствие с лицензионными требованиями.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Автономный округ характеризуется низким показателем обеспеченности единовременной пропускной способности спортивных сооружений, что на 4,4% и на 7% меньше, чем по России и Уральскому Федеральному округу соответственно и составляет 19,1% от норматива, установленного в РФ. В Российской Федерации данный показатель равен 23,5%. Показатель Уральского федерального округа составляет 26,1%. По данному показателю автономный округ занимает последнее место среди субъектов УрФО с разницей в 10% от показателей Курганской, Тюменской и Челябинской областей, уступая 3% Ямало-Ненецкому АО и 5% Свердловской области.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Показатель обеспеченности единовременной пропускной способности в автономном округе имеет достаточно серьезный разрыв от 14% в гг. Нефтеюганск и Нижневартовск до 47,7% в Березовском районе, что говорит о диспропорции в обеспечении населения автономного округа спортивными сооружениями.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 xml:space="preserve">Не менее актуальным остается вопрос низкой загрузки имеющихся спортивных объектов в муниципальных образованиях, при высоких показателях по обеспеченности спортивными сооружениями и тренерско-преподавательским составом. В настоящее время эффективность использования спортивных объектов по автономному округу составляет 62,7%. Причем, у 14 муниципальных образований данный показатель ниже среднеокружного. Самый низкий показатель - 21,7% в Березовском районе, самый высокий - 95,1% в г. Когалыме. В связи с чем, необходима реализация дифференцированного подхода к размещению спортивных объектов с учетом </w:t>
      </w:r>
      <w:r w:rsidRPr="00C51D66">
        <w:rPr>
          <w:rFonts w:ascii="Arial" w:hAnsi="Arial" w:cs="Arial"/>
          <w:sz w:val="24"/>
          <w:szCs w:val="24"/>
        </w:rPr>
        <w:lastRenderedPageBreak/>
        <w:t>плотности населения, транспортной доступности, эффективности использования имеющихся объектов и развиваемых видов спорта.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Строительство спортивных объектов на территории автономного округа осуществляется как по типовым, так и по индивидуальным проектам. При строительстве обеспечивается комплексная безопасность, энергоэффективность, доступность для лиц с инвалидностью.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По состоянию на 1 января 2010 года количество занимающихся физической культурой и спортом составило 18,2% от общей численности населения. По данному показателю, в разрезе субъектов УрФО, автономный округ находится на 4 месте, уступая от 2% до 6,5% Тюменской и Челябинской областям, а так же Ямало-Ненецкому АО. В 12 муниципальных образованиях автономного округа данный показатель ниже среднеокружного от 0,6% в Белоярском районе до 8,2% в Кондинском районе.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 первую очередь это связано с низкой обеспеченностью тренерско-преподавательским составом, особенно в детско-юношеских спортивных школах. В настоящее время обеспеченность тренерско-преподавательским составом от норматива РФ (26 человек на 10 тысяч населения) составляет 39,7%. Отсутствие социально-бытовых условий для молодых специалистов, впервые приступивших к работе, низкая заработная плата позволяет трудоустраивать ежегодно только 10% выпускников высших учебных заведений для работы по специальности.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Обеспечение населения услугами физической культуры и спорта в Программе предусмотрено не только за счет расширения инфраструктуры, но и за счет повышения эффективности использования имеющихся и возводимых объектов спорта. Введение Окружного реестра объектов спорта, проведение сертификации и стандартизации объектов спорта, оказываемых услуг, дополнения в оценки эффективности деятельности органов исполнительной власти муниципальных образований показателей, характеризующих развитие физической культуры и спорта должно стать теми мерами стимулирования и контроля, которые обеспечат решение задач, поставленных в Программе.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bookmarkStart w:id="12" w:name="sub_1052"/>
      <w:r w:rsidRPr="00C51D66">
        <w:rPr>
          <w:rFonts w:ascii="Arial" w:hAnsi="Arial" w:cs="Arial"/>
          <w:b/>
          <w:bCs/>
          <w:color w:val="000080"/>
          <w:sz w:val="24"/>
          <w:szCs w:val="24"/>
        </w:rPr>
        <w:t xml:space="preserve">1.2. Детско-юношеский спорт, спорт лиц с инвалидностью и спорт 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>высших достижений</w:t>
      </w:r>
    </w:p>
    <w:bookmarkEnd w:id="12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Текущее состояние детско - юношеского спорта, спорта лиц с инвалидностью и спорта высших достижений в автономном округе характеризуется положительными тенденциями, связанными с возрождением лучших спортивных и физкультурных традиций. Основы для этого были созданы в ходе реализация программы "Развитие физической культуры и спорта в Ханты-Мансийском автономном округе - Югре" на 2006 - 2010 годы.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 тоже время, дальнейшему развитию детско - юношеского спорта, подготовке полноценного резерва для спортивных сборных команд автономного округа и России препятствуют следующие проблемы: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ухудшение здоровья, физического развития и физической подготовленности населения;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недостаточность материально-технического, научно-методического, медико-биологического и кадрового обеспечения.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 xml:space="preserve">Самое серьезное внимание необходимо уделить развитию детско-юношеского спорта и спорта высших достижений. В настоящее время в автономном округ работают 55 спортивных школ, в которых занимается 44 тысячи детей или 25,5 % от общего числа учащихся в автономном округе. Учебно-тренировочную работу с учащимися </w:t>
      </w:r>
      <w:r w:rsidRPr="00C51D66">
        <w:rPr>
          <w:rFonts w:ascii="Arial" w:hAnsi="Arial" w:cs="Arial"/>
          <w:sz w:val="24"/>
          <w:szCs w:val="24"/>
        </w:rPr>
        <w:lastRenderedPageBreak/>
        <w:t>спортивных школ и клубов ведут 1 195 тренеров-преподавателей, в том числе 857 штатных. Сегодня численность занимающихся увеличивается всего на тысячу человек в год.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Не менее актуальным остается вопрос привлечения к активным занятиям физической культурой и спортом лиц с инвалидностью. В автономном округе количество инвалидов составляет 45 854 человек, из них физической культурой и спортом занимаются 1979 человек (4,3% от общего количества), в том числе дети - 521 человек.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Необходимо увеличить количество занимающихся лиц с инвалидностью в 1,5 раза, т.е ежегодно должно вовлекаться для занятий спортом не менее 280 человек.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 настоящее время на территории автономного округа развивается 68 видов спорта, ежегодно проводится более 300 спортивных мероприятий, в том числе более 20 мероприятий всероссийского и международного уровней. Каждое крупное спортивное мероприятие - это новый импульс к развитию массового спорта, это создание материально-технических условий для занятий физической культурой и спортом подрастающего поколения, а также подготовки сборных команд округа. Ежегодно на всероссийских и международных соревнованиях завоевывается более 1 500 медалей. В составы сборных команд России по 33 видам спорта вошли 146 спортсменов Югры. По итогам зимних Олимпийских игр 2010 года в Ванкувере, где 6 представителей Югры принимали участие, завоевано 2 медали.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Не смотря на высокий уровень выступления отдельных спортсменов и команд Югры, наблюдается снижение результатов в международных и всероссийских соревнованиях в сравнении с предыдущими годами, в связи с чем необходимо совершенствование подготовки спортсменов высокого класса и спортивного резерва и повышения конкурентоспособности на всероссийской и международной спортивных аренах.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bookmarkStart w:id="13" w:name="sub_1053"/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1.3. Целесообразность решения проблем программно-целевым методом</w:t>
      </w:r>
    </w:p>
    <w:bookmarkEnd w:id="13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Программа позволит: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координировать дальнейшее развитие спортивной инфраструктуры, формируемой объектами спорта различных форм собственности: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секторам экономики (бизнесу) планировать строительство частных спортивных объектов на территории автономного округа, в т.ч. и в рамках государственно-частного партнерства;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органам исполнительной власти планировать деятельность по развитию и совершенствованию массового, детско-юношеского спорта, спорта лиц с инвалидностью и высших достижений, включая и обоснования получения субсидий из федерального бюджета;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повышать инвестиционную привлекательности Югры как региона проведения крупных международных и всероссийских соревнований, позволяющего: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координировать различные целевые программы автономного округа (развития образования, культуры, туризма и т.д.), способствуя тем самым переходу к адресно-целевому финансированию, ориентированному на конечный результат, обеспечивающий получение системного эффекта;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 xml:space="preserve">проводить целенаправленную долгосрочную политику по повышению эффективности использования имеющихся и возводимых объектов спорта, введения окружного реестра объектов спорта, проведение сертификации и стандартизации объектов спорта, оказываемых услуг, что позволит населению, определяющему </w:t>
      </w:r>
      <w:r w:rsidRPr="00C51D66">
        <w:rPr>
          <w:rFonts w:ascii="Arial" w:hAnsi="Arial" w:cs="Arial"/>
          <w:sz w:val="24"/>
          <w:szCs w:val="24"/>
        </w:rPr>
        <w:lastRenderedPageBreak/>
        <w:t>устойчивость дальнейшего социально-экономического развития Югры, во многом повысить комфортность своей жизнедеятельности на территории автономного округа;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муниципальным образованиям планировать свою деятельность по развитию массовой физической культуры и спорта, включая и обоснования получения субсидий из бюджета автономного округа;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внедрять современные подходы в энергосбережении и повышения энергетической эффективности;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применять типовые проекты при строительстве объектов спорта, позволяющие обеспечивать комплексную безопасность, энергоэффективность, быть малобюджетными и быстровозводимыми.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bookmarkStart w:id="14" w:name="sub_1060"/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Раздел II. Основные цели, задачи и целевые показатели Программы</w:t>
      </w:r>
    </w:p>
    <w:bookmarkEnd w:id="14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 xml:space="preserve">Цели и задачи Программы указаны в </w:t>
      </w:r>
      <w:hyperlink w:anchor="sub_1020" w:history="1">
        <w:r w:rsidRPr="00C51D66">
          <w:rPr>
            <w:rFonts w:ascii="Arial" w:hAnsi="Arial" w:cs="Arial"/>
            <w:color w:val="008000"/>
            <w:sz w:val="24"/>
            <w:szCs w:val="24"/>
          </w:rPr>
          <w:t>паспорте</w:t>
        </w:r>
      </w:hyperlink>
      <w:r w:rsidRPr="00C51D66">
        <w:rPr>
          <w:rFonts w:ascii="Arial" w:hAnsi="Arial" w:cs="Arial"/>
          <w:sz w:val="24"/>
          <w:szCs w:val="24"/>
        </w:rPr>
        <w:t xml:space="preserve"> Программы.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 xml:space="preserve">Для оценки эффективности Программы используются целевые показатели, приведенные в </w:t>
      </w:r>
      <w:hyperlink w:anchor="sub_100" w:history="1">
        <w:r w:rsidRPr="00C51D66">
          <w:rPr>
            <w:rFonts w:ascii="Arial" w:hAnsi="Arial" w:cs="Arial"/>
            <w:color w:val="008000"/>
            <w:sz w:val="24"/>
            <w:szCs w:val="24"/>
          </w:rPr>
          <w:t>таблице 1.</w:t>
        </w:r>
      </w:hyperlink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bookmarkStart w:id="15" w:name="sub_1070"/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Раздел III. Программные мероприятия</w:t>
      </w:r>
    </w:p>
    <w:bookmarkEnd w:id="15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Достижение поставленных целей Программы предусмотрено посредством реализации основных мероприятий (</w:t>
      </w:r>
      <w:hyperlink w:anchor="sub_200" w:history="1">
        <w:r w:rsidRPr="00C51D66">
          <w:rPr>
            <w:rFonts w:ascii="Arial" w:hAnsi="Arial" w:cs="Arial"/>
            <w:color w:val="008000"/>
            <w:sz w:val="24"/>
            <w:szCs w:val="24"/>
          </w:rPr>
          <w:t>таблица 2</w:t>
        </w:r>
      </w:hyperlink>
      <w:r w:rsidRPr="00C51D66">
        <w:rPr>
          <w:rFonts w:ascii="Arial" w:hAnsi="Arial" w:cs="Arial"/>
          <w:sz w:val="24"/>
          <w:szCs w:val="24"/>
        </w:rPr>
        <w:t>), направленных на решение соответствующих задач.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bookmarkStart w:id="16" w:name="sub_1080"/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Раздел IV. Ресурсное обеспечение Программы</w:t>
      </w:r>
    </w:p>
    <w:bookmarkEnd w:id="16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bookmarkStart w:id="17" w:name="sub_1081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begin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instrText>HYPERLINK "garantF1://18831580.121"</w:instrTex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separate"/>
      </w:r>
      <w:r w:rsidRPr="00C51D66">
        <w:rPr>
          <w:rFonts w:ascii="Arial" w:hAnsi="Arial" w:cs="Arial"/>
          <w:i/>
          <w:iCs/>
          <w:color w:val="008000"/>
          <w:sz w:val="24"/>
          <w:szCs w:val="24"/>
        </w:rPr>
        <w:t>Постановлением</w: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end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 xml:space="preserve"> Правительства Ханты-Мансийского АО - Югры от 16 декабря 2011 г. N 475-п в пункт 4.1 раздела IV настоящего приложения внесены изменения</w:t>
      </w:r>
    </w:p>
    <w:bookmarkEnd w:id="17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>См. текст пункта в предыдущей редакции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4.1. Общий объем финансирования Программы на 2011 - 2013 годы и на период до 2015 года составляет - 10 675 821,2 тыс. рублей, в том числе: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1) за счет средств бюджета Ханты-Мансийского автономного округа - Югры - 8 994 332,6 тыс. рублей, из них: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2011 год -3 975 982,6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2012 год -1 661 830,0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2013 год -956 520,0тыс.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2014 год - 1 200 000,0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2015 год - 1 200 000,0 тыс. рублей.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2) за счет средств федерального бюджета -900000,0 тыс. рублей, из них: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2011 год - 0,0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2012 год -200 000,0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2013 год -700 000,0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2014 год - 0,0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2015 год - 0,0 тыс. рублей.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3) за счет средств бюджетов муниципальных образований Ханты-Мансийского автономного округа - Югры - 155 818,6 тыс. рублей, из них: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2011 год - 61 200,9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2012 год - 76 040,0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lastRenderedPageBreak/>
        <w:t>на 2013 год - 4 967,0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2014 год - 5 716,0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2015 год -7 894,7 тыс. рублей.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 xml:space="preserve">4) за счет средств бюджета Тюменской области в соответствии с </w:t>
      </w:r>
      <w:hyperlink r:id="rId20" w:history="1">
        <w:r w:rsidRPr="00C51D66">
          <w:rPr>
            <w:rFonts w:ascii="Arial" w:hAnsi="Arial" w:cs="Arial"/>
            <w:color w:val="008000"/>
            <w:sz w:val="24"/>
            <w:szCs w:val="24"/>
          </w:rPr>
          <w:t>областной программой</w:t>
        </w:r>
      </w:hyperlink>
      <w:r w:rsidRPr="00C51D66">
        <w:rPr>
          <w:rFonts w:ascii="Arial" w:hAnsi="Arial" w:cs="Arial"/>
          <w:sz w:val="24"/>
          <w:szCs w:val="24"/>
        </w:rPr>
        <w:t xml:space="preserve"> "Сотрудничество" - 625 670,0 тыс. рублей, из них: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2011 год - 121 670,0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2012 год - 155 000,0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2013 год - 349 000,0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2014 год - 0,0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 2015 год - 0,0 тыс. рублей.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8" w:name="sub_1082"/>
      <w:r w:rsidRPr="00C51D66">
        <w:rPr>
          <w:rFonts w:ascii="Arial" w:hAnsi="Arial" w:cs="Arial"/>
          <w:sz w:val="24"/>
          <w:szCs w:val="24"/>
        </w:rPr>
        <w:t>4.2. Финансирование Программы</w:t>
      </w:r>
    </w:p>
    <w:bookmarkEnd w:id="18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Финансовое обеспечение мероприятий Программы осуществляется в пределах средств, выделенных из федерального бюджета, бюджетных ассигнований и лимитов бюджетных обязательств бюджета автономного округа, средств местных бюджетов, а также внебюджетных источников. Привлечение внебюджетных средств планируется осуществлять за счет применения механизма государственно-частного партнерства.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Выделение средств бюджета автономного округа государственным учреждениям автономного округа осуществляется в соответствии со сводной бюджетной росписью бюджета автономного округа, в пределах лимитов бюджетных обязательств и объемов финансирования, предусмотренных по указанной Программе.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Если участниками Программы являются органы местного самоуправления, средства на реализацию мероприятий Программы по развитию материально-технической базы и комплексной безопасности выделяются местным бюджетам в соответствии с долей софинансирования из средств бюджета автономного округа, правилами предоставления субсидий и методикой расчета из бюджета автономного округа бюджетам муниципальных образований на строительство и мероприятия по обеспечении комплексной безопасности.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9" w:name="sub_1083"/>
      <w:r w:rsidRPr="00C51D66">
        <w:rPr>
          <w:rFonts w:ascii="Arial" w:hAnsi="Arial" w:cs="Arial"/>
          <w:sz w:val="24"/>
          <w:szCs w:val="24"/>
        </w:rPr>
        <w:t>4.3. Сроки реализации и этапы Программы.</w:t>
      </w:r>
    </w:p>
    <w:bookmarkEnd w:id="19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Реализация Программы рассчитана на 2011-2013 годы.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Полномасштабное развертывание программных мероприятий. Обеспечение целевых показателей и индикаторов. Мониторинг уровня достижения целевых результатов.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Мероприятия включают в себя: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организацию тиражирования нормативов и методик, типовых проектов созданных на первом этапе;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запуск комплексной программы по спортивным соревнованиям среди всех возрастных категорий по месту жительства на объектах готовой инфраструктуры, освещение ее в местных СМИ, полномасштабное привлечение спонсоров в оснащение команд, участвующих в соревнованиях;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создание материально-технической баз для деятельности спортивных клубов и спортивных команд;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организацию общественного контроля над строительством и эксплуатацией объектов спортивной инфраструктуры по месту жительства, с целью контроля за использованием финансово-материальных средств, формирования у населения чувства ответственности за сохранность создаваемой инфраструктуры, профилактики случаев вандализма и нецелевого использования спортивных объектов;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поддержание инфраструктуры в рабочем состоянии.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 xml:space="preserve">Таким образом, в результате проведенных мероприятий должен быть запущен устойчиво работающий механизм по созданию условий для занятий физической </w:t>
      </w:r>
      <w:r w:rsidRPr="00C51D66">
        <w:rPr>
          <w:rFonts w:ascii="Arial" w:hAnsi="Arial" w:cs="Arial"/>
          <w:sz w:val="24"/>
          <w:szCs w:val="24"/>
        </w:rPr>
        <w:lastRenderedPageBreak/>
        <w:t>культурой и спортом. Параллельно должен быть разработан процесс эксплуатации сооружений как с технической, так и с функциональной точек зрения.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bookmarkStart w:id="20" w:name="sub_1090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begin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instrText>HYPERLINK "garantF1://18831363.125"</w:instrTex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separate"/>
      </w:r>
      <w:r w:rsidRPr="00C51D66">
        <w:rPr>
          <w:rFonts w:ascii="Arial" w:hAnsi="Arial" w:cs="Arial"/>
          <w:i/>
          <w:iCs/>
          <w:color w:val="008000"/>
          <w:sz w:val="24"/>
          <w:szCs w:val="24"/>
        </w:rPr>
        <w:t>Постановлением</w: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end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 xml:space="preserve"> Правительства Ханты-Мансийского АО - Югры от 3 ноября 2011 г. N 414-п раздел V настоящего приложения изложен в новой редакции</w:t>
      </w:r>
    </w:p>
    <w:bookmarkEnd w:id="20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>См. текст раздела в предыдущей редакции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Раздел V. Механизм реализации мероприятий Программы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1" w:name="sub_1091"/>
      <w:r w:rsidRPr="00C51D66">
        <w:rPr>
          <w:rFonts w:ascii="Arial" w:hAnsi="Arial" w:cs="Arial"/>
          <w:sz w:val="24"/>
          <w:szCs w:val="24"/>
        </w:rPr>
        <w:t>5.1. Механизм реализации программы включает:</w:t>
      </w:r>
    </w:p>
    <w:bookmarkEnd w:id="21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разработку и принятие нормативных правовых актов автономного округа, необходимых для выполнения Программы;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заключение государственных и муниципальных контрактов, договоров и соглашений, связанных с реализацией программных мероприятий;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корректировку перечня программных мероприятий, в том числе по источникам и объемам финансирования в связи с уточнением объемов и источников финансирования, а также на основании мониторинга фактически достигнутых и целевых показателей реализации Программы;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передачу при необходимости части функций по реализации Программы учреждениям, подведомственным Департаменту физической культуры и спорта автономного округа;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обеспечение управления Программой, эффективное использование средств, выделенных на реализацию Программы;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мониторинг выполнения показателей Программы и сбор оперативной отчетной информации, подготовку и представление отчетов о ее реализации;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информирование общественности о ходе и результатах реализации Программы.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2" w:name="sub_1092"/>
      <w:r w:rsidRPr="00C51D66">
        <w:rPr>
          <w:rFonts w:ascii="Arial" w:hAnsi="Arial" w:cs="Arial"/>
          <w:sz w:val="24"/>
          <w:szCs w:val="24"/>
        </w:rPr>
        <w:t>5.2. Государственным заказчиком - координатором Программы является Департамент физической культуры и спорта Ханты-Мансийского автономного округа - Югры (далее - Департамент).</w:t>
      </w:r>
    </w:p>
    <w:bookmarkEnd w:id="22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3" w:name="sub_1093"/>
      <w:r w:rsidRPr="00C51D66">
        <w:rPr>
          <w:rFonts w:ascii="Arial" w:hAnsi="Arial" w:cs="Arial"/>
          <w:sz w:val="24"/>
          <w:szCs w:val="24"/>
        </w:rPr>
        <w:t>5.3. Государственный заказчик - координатор Программы осуществляет:</w:t>
      </w:r>
    </w:p>
    <w:bookmarkEnd w:id="23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текущее управление реализацией Программы;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внесение предложений об изменении объемов финансовых средств, направляемых на решение отдельных задач Программы;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контроль за реализацией Программы;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координацию деятельности государственных заказчиков Программы;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мониторинг и оценку результативности мероприятий, обеспечивает при необходимости их корректировку.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4" w:name="sub_1094"/>
      <w:r w:rsidRPr="00C51D66">
        <w:rPr>
          <w:rFonts w:ascii="Arial" w:hAnsi="Arial" w:cs="Arial"/>
          <w:sz w:val="24"/>
          <w:szCs w:val="24"/>
        </w:rPr>
        <w:t>5.4. Оценка хода исполнения мероприятий Программы основана на мониторинге ожидаемых непосредственных и конечных результатов Программы путем сопоставления планируемых целевых показателей с фактически достигнутыми целевыми показателями.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5" w:name="sub_1095"/>
      <w:bookmarkEnd w:id="24"/>
      <w:r w:rsidRPr="00C51D66">
        <w:rPr>
          <w:rFonts w:ascii="Arial" w:hAnsi="Arial" w:cs="Arial"/>
          <w:sz w:val="24"/>
          <w:szCs w:val="24"/>
        </w:rPr>
        <w:t>5.5. Реализацию мероприятий Программы осуществляют:</w:t>
      </w:r>
    </w:p>
    <w:bookmarkEnd w:id="25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исполнительные органы государственной власти автономного округа;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учреждения физической культуры и спорта, подведомственные Департаменту (далее - учреждения автономного округа);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органы местного самоуправления.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lastRenderedPageBreak/>
        <w:t>5.5.1. Реализация мероприятий исполнительными органами государственной власти автономного округа осуществляется в соответствии с государственными контрактами на поставки товаров, выполнение работ, оказание услуг для государственных нужд, заключаемых в порядке, установленном законодательством Российской Федерации.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5.5.2. Реализация программных мероприятий учреждениями автономного округа осуществляется в соответствии с государственным заданием на оказание государственных услуг (выполнение работ).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5.5.3. Реализация программных мероприятий органами местного самоуправления осуществляется в соответствии с Соглашением между государственным заказчиком - координатором Программы и органами местного самоуправления.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6" w:name="sub_1096"/>
      <w:r w:rsidRPr="00C51D66">
        <w:rPr>
          <w:rFonts w:ascii="Arial" w:hAnsi="Arial" w:cs="Arial"/>
          <w:sz w:val="24"/>
          <w:szCs w:val="24"/>
        </w:rPr>
        <w:t>5.6. Государственные заказчики Программы выполняют свои функции во взаимодействии с заинтересованными федеральными органами исполнительной власти, органами местного самоуправления.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7" w:name="sub_1097"/>
      <w:bookmarkEnd w:id="26"/>
      <w:r w:rsidRPr="00C51D66">
        <w:rPr>
          <w:rFonts w:ascii="Arial" w:hAnsi="Arial" w:cs="Arial"/>
          <w:sz w:val="24"/>
          <w:szCs w:val="24"/>
        </w:rPr>
        <w:t>5.7. Государственные заказчики Программы несут ответственность за реализацию Программы, эффективное и целевое использование средств.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8" w:name="sub_1098"/>
      <w:bookmarkEnd w:id="27"/>
      <w:r w:rsidRPr="00C51D66">
        <w:rPr>
          <w:rFonts w:ascii="Arial" w:hAnsi="Arial" w:cs="Arial"/>
          <w:sz w:val="24"/>
          <w:szCs w:val="24"/>
        </w:rPr>
        <w:t>5.8. Финансовое обеспечение мероприятий Программы осуществляется за счет средств бюджетов различных уровней и внебюджетных источников.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9" w:name="sub_1099"/>
      <w:bookmarkEnd w:id="28"/>
      <w:r w:rsidRPr="00C51D66">
        <w:rPr>
          <w:rFonts w:ascii="Arial" w:hAnsi="Arial" w:cs="Arial"/>
          <w:sz w:val="24"/>
          <w:szCs w:val="24"/>
        </w:rPr>
        <w:t>5.9. Предоставление средств бюджета автономного округа на реализацию программных мероприятий органам местного самоуправления обеспечивается путём предоставления межбюджетных трансфертов в форме субсидий местным бюджетам или иных межбюджетных трансфертов, которые предусматриваются в составе расходов бюджета автономного округа и предоставляются бюджетам муниципальных образований (городских округов, муниципальных районов) в пределах лимитов бюджетных обязательств.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0" w:name="sub_10100"/>
      <w:bookmarkEnd w:id="29"/>
      <w:r w:rsidRPr="00C51D66">
        <w:rPr>
          <w:rFonts w:ascii="Arial" w:hAnsi="Arial" w:cs="Arial"/>
          <w:sz w:val="24"/>
          <w:szCs w:val="24"/>
        </w:rPr>
        <w:t>5.10. Межбюджетные трансферты в форме субсидий местным бюджетам (далее - Субсидии) предоставляются органам местного самоуправления на условиях софинансирования расходных обязательств бюджетов муниципальных образований, возникающих при выполнении полномочий органов местного самоуправления по вопросам местного значения и предусмотренных утвержденными муниципальными программами на:</w:t>
      </w:r>
    </w:p>
    <w:bookmarkEnd w:id="30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строительство объектов физической культуры и спорта муниципальной собственности;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мероприятия по обеспечению комплексной безопасности муниципальных объектов физической культуры и спорта;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мероприятия по обеспечению учащихся спортивных школ и клубов физической подготовки спортивным оборудованием, экипировкой и инвентарем.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1" w:name="sub_10111"/>
      <w:r w:rsidRPr="00C51D66">
        <w:rPr>
          <w:rFonts w:ascii="Arial" w:hAnsi="Arial" w:cs="Arial"/>
          <w:sz w:val="24"/>
          <w:szCs w:val="24"/>
        </w:rPr>
        <w:t>5.11. Распределение субсидий на софинансирование расходных обязательств бюджетов муниципальных образований осуществляет Департамент.</w:t>
      </w:r>
    </w:p>
    <w:bookmarkEnd w:id="31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2" w:name="sub_10112"/>
      <w:r w:rsidRPr="00C51D66">
        <w:rPr>
          <w:rFonts w:ascii="Arial" w:hAnsi="Arial" w:cs="Arial"/>
          <w:sz w:val="24"/>
          <w:szCs w:val="24"/>
        </w:rPr>
        <w:t>5.12. Отбор муниципальных образований для получения субсидий осуществляется Департаментом.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3" w:name="sub_10113"/>
      <w:bookmarkEnd w:id="32"/>
      <w:r w:rsidRPr="00C51D66">
        <w:rPr>
          <w:rFonts w:ascii="Arial" w:hAnsi="Arial" w:cs="Arial"/>
          <w:sz w:val="24"/>
          <w:szCs w:val="24"/>
        </w:rPr>
        <w:t>5.13. Условиями предоставления субсидий являются:</w:t>
      </w:r>
    </w:p>
    <w:bookmarkEnd w:id="33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 xml:space="preserve">наличие утвержденных муниципальных программ, включающих мероприятия, указанные в </w:t>
      </w:r>
      <w:hyperlink w:anchor="sub_1099" w:history="1">
        <w:r w:rsidRPr="00C51D66">
          <w:rPr>
            <w:rFonts w:ascii="Arial" w:hAnsi="Arial" w:cs="Arial"/>
            <w:color w:val="008000"/>
            <w:sz w:val="24"/>
            <w:szCs w:val="24"/>
          </w:rPr>
          <w:t>пункте 5.9</w:t>
        </w:r>
      </w:hyperlink>
      <w:r w:rsidRPr="00C51D66">
        <w:rPr>
          <w:rFonts w:ascii="Arial" w:hAnsi="Arial" w:cs="Arial"/>
          <w:sz w:val="24"/>
          <w:szCs w:val="24"/>
        </w:rPr>
        <w:t xml:space="preserve"> настоящего раздела;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наличие бюджетных ассигнований, предусмотренных в бюджете муниципального образования на выполнение указанных мероприятий;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наличие, утвержденной в установленном порядке, предпроектной и проектной документации для объектов строительства;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lastRenderedPageBreak/>
        <w:t>размещение заказа на поставки товаров, выполнение работ, оказание услуг.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4" w:name="sub_514"/>
      <w:r w:rsidRPr="00C51D66">
        <w:rPr>
          <w:rFonts w:ascii="Arial" w:hAnsi="Arial" w:cs="Arial"/>
          <w:sz w:val="24"/>
          <w:szCs w:val="24"/>
        </w:rPr>
        <w:t>5.14. Субсидии на софинансирование строительства объектов физической культуры и спорта муниципальной собственности предоставляются: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5" w:name="sub_5141"/>
      <w:bookmarkEnd w:id="34"/>
      <w:r w:rsidRPr="00C51D66">
        <w:rPr>
          <w:rFonts w:ascii="Arial" w:hAnsi="Arial" w:cs="Arial"/>
          <w:sz w:val="24"/>
          <w:szCs w:val="24"/>
        </w:rPr>
        <w:t>5.14.1. В 2011 году на строительство спортивных объектов по типовым и индивидуальным проектам, обеспечивающим комплексную безопасность, энергоэффективность, доступность для лиц с инвалидностью. Приоритетными являются малобюджетные и быстровозводимые объекты.</w:t>
      </w:r>
    </w:p>
    <w:bookmarkEnd w:id="35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 случае увеличения финансирования строительства (реконструкции) объектов в ходе реализации программы в 2011 году, дополнительные средства подлежат направлению на объекты, начатые строительством, исходя из потребности дополнительного финансирования.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6" w:name="sub_5142"/>
      <w:r w:rsidRPr="00C51D66">
        <w:rPr>
          <w:rFonts w:ascii="Arial" w:hAnsi="Arial" w:cs="Arial"/>
          <w:sz w:val="24"/>
          <w:szCs w:val="24"/>
        </w:rPr>
        <w:t>5.14.2. В 2012 - 2015 годах по приоритетности:</w:t>
      </w:r>
    </w:p>
    <w:bookmarkEnd w:id="36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не завершенные строительством объекты с высокой степенью готовности и предполагаемые к завершению строительством в очередном финансовом году и в плановом периоде;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объекты, финансирование которых осуществлялось за счет средств бюджета автономного округа в текущем и предшествующих текущему годах;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объекты, на строительство которых обеспечивается привлечение иных, помимо средств бюджета автономного округа и средств бюджета муниципальных образований, источников финансирования;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объекты, обеспеченные проектной документацией, утвержденной в установленном Правительством автономного округа порядке;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вновь начинаемые строительством объекты, финансирование строительства которых планируется осуществлять впервые.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7" w:name="sub_515"/>
      <w:r w:rsidRPr="00C51D66">
        <w:rPr>
          <w:rFonts w:ascii="Arial" w:hAnsi="Arial" w:cs="Arial"/>
          <w:sz w:val="24"/>
          <w:szCs w:val="24"/>
        </w:rPr>
        <w:t>5.15. Субсидия на софинансирование строительства объектов физической культуры и спорта и мероприятия по обеспечению комплексной безопасности муниципальных объектов физической культуры и спорта (далее - объекты) предоставляется на основании Соглашения о предоставлении субсидии (далее - соглашение), которое заключается между Департаментом и органом местного самоуправления.</w:t>
      </w:r>
    </w:p>
    <w:bookmarkEnd w:id="37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5.15.1. В соглашении должны быть предусмотрены: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сведения об объеме субсидии, предоставляемой бюджету муниципального образования;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цели, на которые предоставляется субсидия;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наименование объектов;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обязательство органа местного самоуправления по финансовому обеспечению строительства и мероприятий по обеспечению комплексной безопасности объектов спорта;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график перечисления субсидии, составляемый с учетом оценки ожидаемых платежей;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обязательство органа местного самоуправления о предоставлении отчетов о расходах бюджета муниципального образования на строительство и мероприятия по обеспечению комплексной безопасности объектов спорта, источником финансового обеспечения которых является субсидия;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значения целевых показателей эффективности использования субсидии и обязательство органа местного самоуправления о представлении отчетов о достижении значений целевых показателей эффективности использования субсидии;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 xml:space="preserve">условие приостановления предоставления субсидии в случае нарушения органом местного самоуправления обязательств, предусмотренных соглашением. При </w:t>
      </w:r>
      <w:r w:rsidRPr="00C51D66">
        <w:rPr>
          <w:rFonts w:ascii="Arial" w:hAnsi="Arial" w:cs="Arial"/>
          <w:sz w:val="24"/>
          <w:szCs w:val="24"/>
        </w:rPr>
        <w:lastRenderedPageBreak/>
        <w:t>невозможности устранения указанного нарушения предоставление субсидии прекращается в установленном порядке;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ответственность сторон за нарушение условий соглашения.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5.15.2. Для заключения соглашения орган местного самоуправления в сроки, установленные Департаментом представляет ему заявление на получение субсидии (далее - заявление) с приложением следующих документов: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заверенная, в установленном порядке, копия нормативного правового акта органа местного самоуправления об утверждении муниципальных программ на очередной финансовый год и плановый период, предусматривающих строительство объектов и проведение мероприятий по обеспечению комплексной безопасности объектов, с указанием наименований объектов и объема бюджетных ассигнований бюджета муниципального образования, предусмотренных в текущем финансовом году на осуществление такой программы;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выписка из нормативного правового акта органа местного самоуправления о бюджете муниципального образования, подтверждающая наличие бюджетных ассигнований на объекты, предлагаемые к софинансированию;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а) по объектам, на которые предусмотрены затраты на проектные и изыскательские работы: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заверенная, в установленном порядке, копия утвержденного задания на проектирование;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заверенная, в установленном порядке, копия заключения о проверке определения сметной стоимости проектных и (или) изыскательских работ, выданная уполномоченным органом.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б) по переходящим объектам строительства на очередной финансовый год: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заверенная, в установленном порядке, справка о стоимости выполненных работ и затрат (</w:t>
      </w:r>
      <w:hyperlink r:id="rId21" w:history="1">
        <w:r w:rsidRPr="00C51D66">
          <w:rPr>
            <w:rFonts w:ascii="Arial" w:hAnsi="Arial" w:cs="Arial"/>
            <w:color w:val="008000"/>
            <w:sz w:val="24"/>
            <w:szCs w:val="24"/>
          </w:rPr>
          <w:t>форма КС-3</w:t>
        </w:r>
      </w:hyperlink>
      <w:r w:rsidRPr="00C51D66">
        <w:rPr>
          <w:rFonts w:ascii="Arial" w:hAnsi="Arial" w:cs="Arial"/>
          <w:sz w:val="24"/>
          <w:szCs w:val="24"/>
        </w:rPr>
        <w:t>), составленная на последнюю отчетную дату, предшествующую подаче заявления;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в) по новым объектам строительства и реконструкции: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заверенная, в установленном порядке, копия документа об утверждении проектной документации и результатов инженерных изысканий;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заверенная, в установленном порядке, копия заключения о проверке сметной стоимости проектных и (или) изыскательских работ, выданная уполномоченным органом.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г) по обеспечению комплексной безопасности объектов спорта: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копия предписаний (представлений) надзорных органов об устранении нарушений;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заверенный, в установленном порядке, локальный сметный расчёт на выполнение работ по устранению нарушений, указанных в предписаниях (представлениях) надзорных органов;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заверенная, в установленном порядке, копия заключения о проверке сметной стоимости работ по капитальному и (или) текущему ремонту, выданная уполномоченным органом.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5.15.3. Департамент в течение 14 рабочих дней с момента получения заявления и документов осуществляет проверку полноты и правильности их оформления и принимает решение о заключении соглашения либо о возврате заявления с указанием причин возврата.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5.15.4. Основанием для возврата являются: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непредставление или представление не в полном объеме документов, предусмотренных настоящей Программой;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lastRenderedPageBreak/>
        <w:t>недостоверность сведений, содержащихся в документах, предусмотренных настоящей Программой;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несоответствие заявления и представленных документов целям настоящей Программы.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5.15.5. Органы местного самоуправления в случае возврата заявления вправе в 14-дневный срок после получения уведомления о возврате заявления, устранив недостатки, повторно представляют заявление и документы в Департамент. В случае если органы местного самоуправления в указанный срок не устраняют замечания, муниципальное образование утрачивает право на получение субсидии в текущем финансовом году.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8" w:name="sub_516"/>
      <w:r w:rsidRPr="00C51D66">
        <w:rPr>
          <w:rFonts w:ascii="Arial" w:hAnsi="Arial" w:cs="Arial"/>
          <w:sz w:val="24"/>
          <w:szCs w:val="24"/>
        </w:rPr>
        <w:t>5.16. Эффективность расходов, источником финансового обеспечения которых являются субсидии, оценивается Департаментом:</w:t>
      </w:r>
    </w:p>
    <w:bookmarkEnd w:id="38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при направлении субсидий на строительство, реконструкцию, капитальный ремонт объектов спорта - на основе целевого показателя увеличения Единовременной пропускной способности спортивных сооружений муниципального образования;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при направлении субсидий на ремонт и обеспечение комплексной безопасности объектов спорта - на основе показателя - устранение предписаний надзорных органов, уменьшение физического износа объекта.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9" w:name="sub_517"/>
      <w:r w:rsidRPr="00C51D66">
        <w:rPr>
          <w:rFonts w:ascii="Arial" w:hAnsi="Arial" w:cs="Arial"/>
          <w:sz w:val="24"/>
          <w:szCs w:val="24"/>
        </w:rPr>
        <w:t>5.17. Органы местного самоуправления представляют в Департамент:</w:t>
      </w:r>
    </w:p>
    <w:bookmarkEnd w:id="39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отчет о расходах бюджета муниципального образования, источником финансового обеспечения которых является субсидия, ежеквартально, не позднее 5-го числа месяца, следующего за отчетным кварталом, по форме, установленной соглашением;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отчет о достижении значений целевых показателей эффективности использования субсидии, по форме и в срок, установленные соглашением.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0" w:name="sub_518"/>
      <w:r w:rsidRPr="00C51D66">
        <w:rPr>
          <w:rFonts w:ascii="Arial" w:hAnsi="Arial" w:cs="Arial"/>
          <w:sz w:val="24"/>
          <w:szCs w:val="24"/>
        </w:rPr>
        <w:t>5.18. Органы местного самоуправления в соответствии с законодательством Российской Федерации и Ханты-Мансийского автономного округа - Югры несут ответственность за нарушение условий, установленных настоящей Программой, недостоверность сведений, содержащихся в документах, представляемых в Департамент, и целевое использование средств бюджета автономного округа.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1" w:name="sub_519"/>
      <w:bookmarkEnd w:id="40"/>
      <w:r w:rsidRPr="00C51D66">
        <w:rPr>
          <w:rFonts w:ascii="Arial" w:hAnsi="Arial" w:cs="Arial"/>
          <w:sz w:val="24"/>
          <w:szCs w:val="24"/>
        </w:rPr>
        <w:t>5.19. Размер субсидий, предоставляемых бюджету муниципального образования на строительство спортивных объектов в 2011 году, а также на мероприятия по обеспечению комплексной безопасности спортивных сооружений, на весь период действия Программы, определяется по формуле:</w:t>
      </w:r>
    </w:p>
    <w:bookmarkEnd w:id="41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3608070" cy="90424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07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где: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i=1, n - количество муниципальных районов, городских округов;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58750" cy="228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D66">
        <w:rPr>
          <w:rFonts w:ascii="Arial" w:hAnsi="Arial" w:cs="Arial"/>
          <w:sz w:val="24"/>
          <w:szCs w:val="24"/>
        </w:rPr>
        <w:t xml:space="preserve"> - размер субсидии, установленный бюджету i-го муниципального района, городского округа,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C - общий размер субсидий,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4 - количество критериев отбора;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19380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D66">
        <w:rPr>
          <w:rFonts w:ascii="Arial" w:hAnsi="Arial" w:cs="Arial"/>
          <w:sz w:val="24"/>
          <w:szCs w:val="24"/>
        </w:rPr>
        <w:t xml:space="preserve"> - обеспеченность муниципального образования единовременной пропускной способностью спортивных сооружений в % от норматива, установленного в Российской </w:t>
      </w:r>
      <w:r w:rsidRPr="00C51D66">
        <w:rPr>
          <w:rFonts w:ascii="Arial" w:hAnsi="Arial" w:cs="Arial"/>
          <w:sz w:val="24"/>
          <w:szCs w:val="24"/>
        </w:rPr>
        <w:lastRenderedPageBreak/>
        <w:t xml:space="preserve">Федерации, равного 1820 чел./час на 10000 населения, на основании данных статистического </w:t>
      </w:r>
      <w:hyperlink r:id="rId25" w:history="1">
        <w:r w:rsidRPr="00C51D66">
          <w:rPr>
            <w:rFonts w:ascii="Arial" w:hAnsi="Arial" w:cs="Arial"/>
            <w:color w:val="008000"/>
            <w:sz w:val="24"/>
            <w:szCs w:val="24"/>
          </w:rPr>
          <w:t>отчета 1-ФК</w:t>
        </w:r>
      </w:hyperlink>
      <w:r w:rsidRPr="00C51D66">
        <w:rPr>
          <w:rFonts w:ascii="Arial" w:hAnsi="Arial" w:cs="Arial"/>
          <w:sz w:val="24"/>
          <w:szCs w:val="24"/>
        </w:rPr>
        <w:t xml:space="preserve"> "Сведения по физической культуре и спорту", по состоянию на 1 января года, предшествующего финансовому году, в котором осуществляется распределение субсидий;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58750" cy="228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D66">
        <w:rPr>
          <w:rFonts w:ascii="Arial" w:hAnsi="Arial" w:cs="Arial"/>
          <w:sz w:val="24"/>
          <w:szCs w:val="24"/>
        </w:rPr>
        <w:t xml:space="preserve"> - численность населения муниципального образования, систематически занимающегося физической культурой и спортом, определяемое на основании данных статистического отчета 1-ФК "Сведения по физической культуре и спорту", по состоянию на 1 января года, предшествующего финансовому году, в котором осуществляется распределение субсидий;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68910" cy="228600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D66">
        <w:rPr>
          <w:rFonts w:ascii="Arial" w:hAnsi="Arial" w:cs="Arial"/>
          <w:sz w:val="24"/>
          <w:szCs w:val="24"/>
        </w:rPr>
        <w:t xml:space="preserve"> - численность постоянного населения i-го городского округа, муниципального района, определяемая на основании данных территориального органа государственной статистики, по состоянию на 1 января года, предшествующего финансовому году, в котором осуществляется распределение субсидий;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39065" cy="22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D66">
        <w:rPr>
          <w:rFonts w:ascii="Arial" w:hAnsi="Arial" w:cs="Arial"/>
          <w:sz w:val="24"/>
          <w:szCs w:val="24"/>
        </w:rPr>
        <w:t xml:space="preserve"> - соотношение фактической численности занимающихся физической культурой и спортом муниципального образования, к единовременной пропускной способности спортивных сооружений муниципального образования, умноженное на 8 часов работы ежедневно, определяемое на основании данных статистического </w:t>
      </w:r>
      <w:hyperlink r:id="rId29" w:history="1">
        <w:r w:rsidRPr="00C51D66">
          <w:rPr>
            <w:rFonts w:ascii="Arial" w:hAnsi="Arial" w:cs="Arial"/>
            <w:color w:val="008000"/>
            <w:sz w:val="24"/>
            <w:szCs w:val="24"/>
          </w:rPr>
          <w:t>отчета 1-ФК</w:t>
        </w:r>
      </w:hyperlink>
      <w:r w:rsidRPr="00C51D66">
        <w:rPr>
          <w:rFonts w:ascii="Arial" w:hAnsi="Arial" w:cs="Arial"/>
          <w:sz w:val="24"/>
          <w:szCs w:val="24"/>
        </w:rPr>
        <w:t xml:space="preserve"> "Сведения по физической культуре и спорту", по состоянию на 1 января года, предшествующего финансовому году, в котором осуществляется распределение субсидий.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2" w:name="sub_520"/>
      <w:r w:rsidRPr="00C51D66">
        <w:rPr>
          <w:rFonts w:ascii="Arial" w:hAnsi="Arial" w:cs="Arial"/>
          <w:sz w:val="24"/>
          <w:szCs w:val="24"/>
        </w:rPr>
        <w:t>5.20. Объем финансирования мероприятий по обеспечению комплексной безопасности спортивных сооружений за счет средств бюджета автономного округа и бюджетов муниципальных образований устанавливается в соотношении 80 процентов и 20 процентов соответственно.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3" w:name="sub_521"/>
      <w:bookmarkEnd w:id="42"/>
      <w:r w:rsidRPr="00C51D66">
        <w:rPr>
          <w:rFonts w:ascii="Arial" w:hAnsi="Arial" w:cs="Arial"/>
          <w:sz w:val="24"/>
          <w:szCs w:val="24"/>
        </w:rPr>
        <w:t xml:space="preserve">5.21. Размер субсидий, предоставляемых бюджету муниципального образования по приоритетности, в соответствии с </w:t>
      </w:r>
      <w:hyperlink w:anchor="sub_5142" w:history="1">
        <w:r w:rsidRPr="00C51D66">
          <w:rPr>
            <w:rFonts w:ascii="Arial" w:hAnsi="Arial" w:cs="Arial"/>
            <w:color w:val="008000"/>
            <w:sz w:val="24"/>
            <w:szCs w:val="24"/>
          </w:rPr>
          <w:t>пунктом 5.14.2</w:t>
        </w:r>
      </w:hyperlink>
      <w:r w:rsidRPr="00C51D66">
        <w:rPr>
          <w:rFonts w:ascii="Arial" w:hAnsi="Arial" w:cs="Arial"/>
          <w:sz w:val="24"/>
          <w:szCs w:val="24"/>
        </w:rPr>
        <w:t xml:space="preserve"> настоящего раздела, на софинансирование строительства спортивных объектов на 2012-2015 годы, определяется в соответствии с формулой:</w:t>
      </w:r>
    </w:p>
    <w:bookmarkEnd w:id="43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450975" cy="5365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где: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79070" cy="22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D66">
        <w:rPr>
          <w:rFonts w:ascii="Arial" w:hAnsi="Arial" w:cs="Arial"/>
          <w:sz w:val="24"/>
          <w:szCs w:val="24"/>
        </w:rPr>
        <w:t xml:space="preserve"> - размер субсидии, установленный бюджету i-го муниципального образования, тыс. рублей;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С - общий объём средств, подлежащий распределению между муниципальными образованиями, тыс.руб.;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5875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D66">
        <w:rPr>
          <w:rFonts w:ascii="Arial" w:hAnsi="Arial" w:cs="Arial"/>
          <w:sz w:val="24"/>
          <w:szCs w:val="24"/>
        </w:rPr>
        <w:t xml:space="preserve"> - потребность i-го муниципального образования в финансировании строительства объектов, тыс.руб.;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47040" cy="497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D66">
        <w:rPr>
          <w:rFonts w:ascii="Arial" w:hAnsi="Arial" w:cs="Arial"/>
          <w:sz w:val="24"/>
          <w:szCs w:val="24"/>
        </w:rPr>
        <w:t xml:space="preserve"> - суммарный объём потребностей муниципальных образований в финансировании строительства объектов.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4" w:name="sub_522"/>
      <w:r w:rsidRPr="00C51D66">
        <w:rPr>
          <w:rFonts w:ascii="Arial" w:hAnsi="Arial" w:cs="Arial"/>
          <w:sz w:val="24"/>
          <w:szCs w:val="24"/>
        </w:rPr>
        <w:t>5.22. Уровень софинансирования строительства спортивных сооружений определяется в зависимости от уровня расчетной бюджетной обеспеченности.</w:t>
      </w:r>
    </w:p>
    <w:bookmarkEnd w:id="44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Муниципальные районы и городские округа делятся на III группы: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4900"/>
        <w:gridCol w:w="1960"/>
        <w:gridCol w:w="1400"/>
      </w:tblGrid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Группа</w:t>
            </w:r>
          </w:p>
        </w:tc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Уровень бюджетной расчетной обеспеченности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Уровень софинансирования (%)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2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муниципального образования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от 0,0 до 1,3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от 1,3 до 1,5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от 1,5 до 2,0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При этом уровень софинансирования строительства спортивных сооружений из бюджета автономного округа не может быть установлен выше 95 процентов и ниже 80 процентов годового объема бюджетных инвестиций в объекты строительства.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5" w:name="sub_523"/>
      <w:r w:rsidRPr="00C51D66">
        <w:rPr>
          <w:rFonts w:ascii="Arial" w:hAnsi="Arial" w:cs="Arial"/>
          <w:sz w:val="24"/>
          <w:szCs w:val="24"/>
        </w:rPr>
        <w:t>5.23. Перечисление субсидий в бюджеты муниципальных образований осуществляется на основании заявок Департамента, направляемых в Департамент финансов автономного округа.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6" w:name="sub_524"/>
      <w:bookmarkEnd w:id="45"/>
      <w:r w:rsidRPr="00C51D66">
        <w:rPr>
          <w:rFonts w:ascii="Arial" w:hAnsi="Arial" w:cs="Arial"/>
          <w:sz w:val="24"/>
          <w:szCs w:val="24"/>
        </w:rPr>
        <w:t>5.24. Размер субсидий, предоставляемых бюджету муниципального образования на софинансирование расходных обязательств по обеспечению учащихся спортивных школ и клубов физической подготовки спортивным оборудованием, экипировкой и инвентарем, определяется в соответствии с порядком, устанавливаемым Правительством автономного округа.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7" w:name="sub_525"/>
      <w:bookmarkEnd w:id="46"/>
      <w:r w:rsidRPr="00C51D66">
        <w:rPr>
          <w:rFonts w:ascii="Arial" w:hAnsi="Arial" w:cs="Arial"/>
          <w:sz w:val="24"/>
          <w:szCs w:val="24"/>
        </w:rPr>
        <w:t>5.25. Субсидии распространяются на муниципальные районы, городские и сельские поселения, городские округа автономного округа.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8" w:name="sub_526"/>
      <w:bookmarkEnd w:id="47"/>
      <w:r w:rsidRPr="00C51D66">
        <w:rPr>
          <w:rFonts w:ascii="Arial" w:hAnsi="Arial" w:cs="Arial"/>
          <w:sz w:val="24"/>
          <w:szCs w:val="24"/>
        </w:rPr>
        <w:t>5.26. Муниципальные районы распределяют субсидии городским и сельским поселениям и обеспечивают их перечисление в бюджет соответствующего поселения.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9" w:name="sub_527"/>
      <w:bookmarkEnd w:id="48"/>
      <w:r w:rsidRPr="00C51D66">
        <w:rPr>
          <w:rFonts w:ascii="Arial" w:hAnsi="Arial" w:cs="Arial"/>
          <w:sz w:val="24"/>
          <w:szCs w:val="24"/>
        </w:rPr>
        <w:t>5.27. Размер субсидий, предоставляемых бюджету каждого муниципального района, городского округа на софинансирование строительства и мероприятий по обеспечению комплексной безопасности спортивных сооружений и уровень софинансирования из средств бюджета автономного округа определяется расчетно.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0" w:name="sub_528"/>
      <w:bookmarkEnd w:id="49"/>
      <w:r w:rsidRPr="00C51D66">
        <w:rPr>
          <w:rFonts w:ascii="Arial" w:hAnsi="Arial" w:cs="Arial"/>
          <w:sz w:val="24"/>
          <w:szCs w:val="24"/>
        </w:rPr>
        <w:t>5.28. Контроль за осуществлением расходов бюджетов муниципальных образований, источником финансового обеспечения которых является субсидия, осуществляется Департаментом.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1" w:name="sub_529"/>
      <w:bookmarkEnd w:id="50"/>
      <w:r w:rsidRPr="00C51D66">
        <w:rPr>
          <w:rFonts w:ascii="Arial" w:hAnsi="Arial" w:cs="Arial"/>
          <w:sz w:val="24"/>
          <w:szCs w:val="24"/>
        </w:rPr>
        <w:t>5.29. Мероприятия по охране окружающей среды.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2" w:name="sub_530"/>
      <w:bookmarkEnd w:id="51"/>
      <w:r w:rsidRPr="00C51D66">
        <w:rPr>
          <w:rFonts w:ascii="Arial" w:hAnsi="Arial" w:cs="Arial"/>
          <w:sz w:val="24"/>
          <w:szCs w:val="24"/>
        </w:rPr>
        <w:t>5.30. При строительстве зданий и сооружений, предусмотренных в Программе, учитываются требования федерального законодательства относительно охраны окружающей среды.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3" w:name="sub_531"/>
      <w:bookmarkEnd w:id="52"/>
      <w:r w:rsidRPr="00C51D66">
        <w:rPr>
          <w:rFonts w:ascii="Arial" w:hAnsi="Arial" w:cs="Arial"/>
          <w:sz w:val="24"/>
          <w:szCs w:val="24"/>
        </w:rPr>
        <w:t>5.31. Площадки под строительство объектов выбираются в соответствии с требованиями актов и утвержденной в установленном порядке градостроительной документации (генеральными планами городов и других поселений, схемами и проектами планировки и застройки территориальных образований и др.) муниципальных районов и населенных пунктов.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4" w:name="sub_532"/>
      <w:bookmarkEnd w:id="53"/>
      <w:r w:rsidRPr="00C51D66">
        <w:rPr>
          <w:rFonts w:ascii="Arial" w:hAnsi="Arial" w:cs="Arial"/>
          <w:sz w:val="24"/>
          <w:szCs w:val="24"/>
        </w:rPr>
        <w:t>5.32. При строительстве объектов в водоохранной зоне проектными материалами должны предусматриваться соответствующие природоохранные мероприятия.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5" w:name="sub_533"/>
      <w:bookmarkEnd w:id="54"/>
      <w:r w:rsidRPr="00C51D66">
        <w:rPr>
          <w:rFonts w:ascii="Arial" w:hAnsi="Arial" w:cs="Arial"/>
          <w:sz w:val="24"/>
          <w:szCs w:val="24"/>
        </w:rPr>
        <w:t xml:space="preserve">5.33. По окончании строительства предусматривается рекультивация земель согласно </w:t>
      </w:r>
      <w:hyperlink r:id="rId34" w:history="1">
        <w:r w:rsidRPr="00C51D66">
          <w:rPr>
            <w:rFonts w:ascii="Arial" w:hAnsi="Arial" w:cs="Arial"/>
            <w:color w:val="008000"/>
            <w:sz w:val="24"/>
            <w:szCs w:val="24"/>
          </w:rPr>
          <w:t>ГОСТ 17.5.3.04-83</w:t>
        </w:r>
      </w:hyperlink>
      <w:r w:rsidRPr="00C51D66">
        <w:rPr>
          <w:rFonts w:ascii="Arial" w:hAnsi="Arial" w:cs="Arial"/>
          <w:sz w:val="24"/>
          <w:szCs w:val="24"/>
        </w:rPr>
        <w:t xml:space="preserve"> и </w:t>
      </w:r>
      <w:hyperlink r:id="rId35" w:history="1">
        <w:r w:rsidRPr="00C51D66">
          <w:rPr>
            <w:rFonts w:ascii="Arial" w:hAnsi="Arial" w:cs="Arial"/>
            <w:color w:val="008000"/>
            <w:sz w:val="24"/>
            <w:szCs w:val="24"/>
          </w:rPr>
          <w:t>приказу</w:t>
        </w:r>
      </w:hyperlink>
      <w:r w:rsidRPr="00C51D66">
        <w:rPr>
          <w:rFonts w:ascii="Arial" w:hAnsi="Arial" w:cs="Arial"/>
          <w:sz w:val="24"/>
          <w:szCs w:val="24"/>
        </w:rPr>
        <w:t xml:space="preserve"> Минприроды Российской Федерации от 22.12.1995 525/67 "Об утверждении Основных положений о рекультивации земель, снятии, сохранении и рациональном пользовании плодородного слоя почвы".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6" w:name="sub_534"/>
      <w:bookmarkEnd w:id="55"/>
      <w:r w:rsidRPr="00C51D66">
        <w:rPr>
          <w:rFonts w:ascii="Arial" w:hAnsi="Arial" w:cs="Arial"/>
          <w:sz w:val="24"/>
          <w:szCs w:val="24"/>
        </w:rPr>
        <w:lastRenderedPageBreak/>
        <w:t>5.34. Принятие надлежащих природоохранных мероприятий с последующим восстановлением территории сведут к минимуму наносимый ущерб и предотвратят деградацию земель в дальнейшем.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7" w:name="sub_535"/>
      <w:bookmarkEnd w:id="56"/>
      <w:r w:rsidRPr="00C51D66">
        <w:rPr>
          <w:rFonts w:ascii="Arial" w:hAnsi="Arial" w:cs="Arial"/>
          <w:sz w:val="24"/>
          <w:szCs w:val="24"/>
        </w:rPr>
        <w:t>5.35. Объекты, предложенные к строительству, располагаются в соответствии со схемой территориального планирования автономного округа, генеральными планами городов и населенных пунктов, утвержденными в соответствии с действующим законодательством.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8" w:name="sub_536"/>
      <w:bookmarkEnd w:id="57"/>
      <w:r w:rsidRPr="00C51D66">
        <w:rPr>
          <w:rFonts w:ascii="Arial" w:hAnsi="Arial" w:cs="Arial"/>
          <w:sz w:val="24"/>
          <w:szCs w:val="24"/>
        </w:rPr>
        <w:t>5.36. Рабочие проекты на строительство отдельных зданий и сооружений имеют положительные заключения государственной экспертизы.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9" w:name="sub_537"/>
      <w:bookmarkEnd w:id="58"/>
      <w:r w:rsidRPr="00C51D66">
        <w:rPr>
          <w:rFonts w:ascii="Arial" w:hAnsi="Arial" w:cs="Arial"/>
          <w:sz w:val="24"/>
          <w:szCs w:val="24"/>
        </w:rPr>
        <w:t>5.37. Возможные риски реализации Программы и способы их ограничения.</w:t>
      </w:r>
    </w:p>
    <w:bookmarkEnd w:id="59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Финансовый риск реализации Программы представляет собой замедление запланированных темпов развития инфраструктуры вследствие невыполнения в полном объеме муниципальными образованиями принятых по программе финансовых обязательств, что приведет к неравномерному развитию инфраструктуры массового спорта в автономном округе и диспропорциям в отчетных показателях.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Способом ограничения финансового риска является ежегодная корректировка программных мероприятий и показателей в зависимости от достигнутых результатов.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Административный риск связан с неэффективным управлением Программой, которое может привести к невыполнению целей и задач Программы, обусловленному: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срывом мероприятий и недостижением целевых показателей;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неэффективным использованием ресурсов и повышением вероятности неконтролируемого влияния негативных факторов на реализацию Программы.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Способами ограничения административного риска являются: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регулярная и открытая публикация данных о ходе финансирования Программы в качестве механизма, стимулирующего администрации муниципальных образований округа выполнять принятые на себя обязательства;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усиление контроля за ходом выполнения программных мероприятий и совершенствование механизма текущего управления реализацией Программы;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своевременная корректировка мероприятий Программы.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Внешними рисками реализации Программы является возможность изменения федерального законодательства в части перераспределения полномочий между Российской Федерацией, субъектами Российской Федерации и муниципальными образованиями.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sz w:val="24"/>
          <w:szCs w:val="24"/>
        </w:rPr>
        <w:t>Внутренними рисками реализации Программы может быть недостаточная штатная численность Департамента для реализации Программы.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bookmarkStart w:id="60" w:name="sub_100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begin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instrText>HYPERLINK "garantF1://18831363.126"</w:instrTex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separate"/>
      </w:r>
      <w:r w:rsidRPr="00C51D66">
        <w:rPr>
          <w:rFonts w:ascii="Arial" w:hAnsi="Arial" w:cs="Arial"/>
          <w:i/>
          <w:iCs/>
          <w:color w:val="008000"/>
          <w:sz w:val="24"/>
          <w:szCs w:val="24"/>
        </w:rPr>
        <w:t>Постановлением</w: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end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 xml:space="preserve"> Правительства Ханты-Мансийского АО - Югры от 3 ноября 2011 г. N 414-п таблица 1 настоящего приложения изложена в новой редакции</w:t>
      </w:r>
    </w:p>
    <w:bookmarkEnd w:id="60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>См. текст таблицы в предыдущей редакции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Таблица 1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Целевые показатели целевой программы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>Ханты-Мансийского автономного округа - Югры "Развитие физической культуры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>и спорта в Ханты-Мансийском автономном округе - Югре"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>на 2011 - 2013 годы и на период до 2015 года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00"/>
        <w:gridCol w:w="280"/>
        <w:gridCol w:w="840"/>
        <w:gridCol w:w="980"/>
        <w:gridCol w:w="980"/>
        <w:gridCol w:w="980"/>
        <w:gridCol w:w="980"/>
        <w:gridCol w:w="980"/>
        <w:gridCol w:w="980"/>
      </w:tblGrid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Наименование показателей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результатов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 xml:space="preserve">Базовый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показатель на начало реализации Программмы</w:t>
            </w:r>
            <w:hyperlink r:id="rId36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#</w:t>
              </w:r>
            </w:hyperlink>
          </w:p>
        </w:tc>
        <w:tc>
          <w:tcPr>
            <w:tcW w:w="4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Значение показателя по годам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Целевое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значение показателя на момент окончания действия Программы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2011 г.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2012 г.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2013 г.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2014 г.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2015 г.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050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050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I раздел "Массовая физическая культура и спорт"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Количество физкультурно-массовых и спортивных мероприятий различного уровня, проводимых на территории автономного округа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380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Количество занимающихся физической культурой и спортом по месту жительства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15119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18679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21364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24964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26964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28964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28964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Количество занимающихся физической культурой и спортом лиц с инвалидностью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1979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2250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2497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2800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3050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3300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3300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Количество занимающихся физической культурой и спортом в секциях образовательных учреждений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71341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74340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77855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82351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86351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89851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89851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Количество тренеров по видам спорта и физкультурных работников по месту жительства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1561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1662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1761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1862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1912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1962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1962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Количество спортивных сооружений (ед.)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2097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2209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2250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2300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2350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2400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2400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спортивных учреждений, прошедших добровольную сертификацию (ед.)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45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Охват учащихся практико-ориентированным мониторингом состояния физического здоровья населения, физического развития детей, подростков и молодежи в образовательных учреждениях автономного округа (чел.)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98703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108000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118000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128000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133000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138000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138000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050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II раздел "Детско-юношеский спорт, спорт лиц с инвалидностью и спорт высших достижений"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Количество детей, подростков и юношей, занимающихся в детско-юношеских спортивных школах (чел.)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46226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48348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50347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53349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55849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58349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58349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Количество медалей, завоеванных спортсменами автономного округа на всероссийских и международных соревнованиях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983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1058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1093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1128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1163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1163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Количество спортсменов, включенных в основной и резервный состав юношеских сборных команд России по видам спорта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175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185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195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195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Количество медалей, завоеванных на всероссийских и международных соревнованиях спортсменами автономного округа старше 18 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687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747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787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847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847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Количество спортсменов,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включенных в основной и резервный состав сборных команд России по видам спорта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42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Количество присвоенных спортивных званий спортсменам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116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116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Количество тренерских и судейских семинаров и совещаний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53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050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Показатели конечных результатов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050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I раздел "Массовая физическая культура и спорт"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Обеспеченность ЕПС спортивных сооружений в (%) от норматива в 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21,0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21,4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21,8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22,9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24,9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25,3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25,3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Удельный вес населения, занимающегося физической культурой и спортом (%)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19,9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26,0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Удельный вес лиц с инвалидностью, занимающихся физической культурой и спортом (%)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Обеспеченность тренерско-преподавательским составом, в % от норматива в 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39,7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40,6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41,4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45,1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46,1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47,1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47,1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Удельный вес подростков и молодежи в возрасте 11 - 30 лет, занимающихся физической культурой и спортом, от общей численности данной категории лиц (%)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35,6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38,1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40,6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43,1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44,1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45.1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45,1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Уровень удовлетворенности населения автономного округа качеством предоставляемых услуг в отрасли физическая культура и спорт, 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83,2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83,9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84,6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85,3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86,3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87,3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87,3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Доля спортивных учреждений, прошедших добровольную сертификацию (%)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14,3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23,8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26,8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29,8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29,8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050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II раздел "Детско-юношеский спорт, спорт лиц с инвалидностью и спорт высших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достижений"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Доля детей, занимающихся в специализированных спортивных учреждениях, в общей численности детей 6 - 15 лет (%)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29,3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31,2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33,2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34,2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34,2</w:t>
            </w:r>
          </w:p>
        </w:tc>
      </w:tr>
    </w:tbl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bookmarkStart w:id="61" w:name="sub_200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begin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instrText>HYPERLINK "garantF1://18831580.13"</w:instrTex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separate"/>
      </w:r>
      <w:r w:rsidRPr="00C51D66">
        <w:rPr>
          <w:rFonts w:ascii="Arial" w:hAnsi="Arial" w:cs="Arial"/>
          <w:i/>
          <w:iCs/>
          <w:color w:val="008000"/>
          <w:sz w:val="24"/>
          <w:szCs w:val="24"/>
        </w:rPr>
        <w:t>Постановлением</w: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end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 xml:space="preserve"> Правительства Ханты-Мансийского АО - Югры от 16 декабря 2011 г. N 475-п таблица 2 настоящего приложения изложена в новой редакции</w:t>
      </w:r>
    </w:p>
    <w:bookmarkEnd w:id="61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>См. текст таблицы в предыдущей редакции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Таблица 2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Основные мероприятия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 xml:space="preserve">целевой программы Ханты-Мансийского автономного округа - Югры 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 xml:space="preserve">"Развитие физической культуры и спорта в Ханты-Мансийском автономном 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>округе - Югре" на 2011-2013 годы и на период до 2015 года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2940"/>
        <w:gridCol w:w="1260"/>
        <w:gridCol w:w="1400"/>
        <w:gridCol w:w="1820"/>
        <w:gridCol w:w="1680"/>
        <w:gridCol w:w="1680"/>
        <w:gridCol w:w="1680"/>
        <w:gridCol w:w="1680"/>
        <w:gridCol w:w="1680"/>
        <w:gridCol w:w="2240"/>
      </w:tblGrid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Мероприятия Программы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Государственный заказчик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Финансовые затраты на реализацию (тыс. рублей)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Ожидаемые результаты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2011 г.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2012 г.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2013 г.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2014 г.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2015 г.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918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</w:pPr>
            <w:r w:rsidRPr="00C51D66"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  <w:t xml:space="preserve">I. Цель: создание условий, ориентирующих граждан на здоровый образ жизни, в том числе на занятия физической культурой и спортом, увеличение количества занимающихся 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</w:pPr>
            <w:r w:rsidRPr="00C51D66"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  <w:t>физической культурой и спортом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918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Раздел 1 "Массовая физическая культура и спорт"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918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Задача N 1. Развитие массовой физической культуры и спорта, спортивной инфраструктуры, обеспечение комплексной безопасности и комфортных условий в учреждениях спорта, пропаганда здорового образа жизни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Проведение окружных смотров - конкурсов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Департамент физической культуры и спорта автономного округа (далее - Депспорта)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16 100,0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3800,0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занимающихся физической культурой и спортом по месту жительства на 13 845 чел, или на 91,6 %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Проведение окружных комплексных спортивно-массовых мероприятий, в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соответствии с календарным планом (в том числе спартакиад государственных гражданских и муниципальных служащих)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147 600,0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18 600,0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50 400,0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26 200,0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26 200,0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26 200,0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увеличение количества физкультурно-массовых и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спортивных мероприятий различного уровня, проводимых на территории автономного округа на 153 мероприятия, или на 67,4 %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Проведение мониторинга физического развития и физической подготовленности детей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охвата учащихся практико-ориентированным мониторингом состояния физического здоровья населения, физического развития детей, подростков и молодежи в образовательных учреждениях автономного округа на 39 297 чел, или 39,8 %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Сертификация и стандартизация спортивных объектов и услуг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2 100,0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количества спортивных учреждений, прошедших добровольную сертификацию на 45 единиц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Информационное обеспечение жителей автономного округа о ходе реализации Программы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3 148,0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348,0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формирование у населения, устойчивого интереса и потребности в регулярных занятиях физической культурой и спортом, а также навыков и форм внедрения здорового образа жизни,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повышения уровня образованности в области физической культуры, спорта и здорового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Изготовление и размещение информации, открытие новых имен на "Аллее спортивной славы Югры"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3 704,2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1704,2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Информационно - выставочная деятельность,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разработка и выпуск наглядных пособий, сувенирной, печатной продукции, баннеров со спортивной символикой, социальной рекламой, девизами акций и проектов физкультурно-спортивной направленности. Создание серии телефильмов, радиопередач, спортивно - художественных программ, пропагандирующих достижения спортсменов, тренеров, историю развития спорта в Югре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5 022,0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1 022,0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Торжественная церемония чествования спортсменов, тренеров и специалистов физической культуры и спорта "Спортивная элита 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14 356,0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3 156,0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2 800,0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Обеспечение комплексной безопасности и комфортных условий в учреждениях спорта муниципальных образований округа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Депспорта, муниципальные образования автономного округа (далее - МО)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62 500,0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62 500,0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проведен капитальный ремонт в 33 учреждениях спорта, в 39- обеспечено устранение предписаний органов пожнадзора, 35- приведут в соответствие с требованиями по антитеррористической безопасности, 18- по санитарно-эпидемиологической безопасности, в 33 - внедрят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мероприятия по энергосбережению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Обеспечение комплексной безопасности и комфортных условий в учреждениях спорта автономного округа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 10.1.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Мероприятия по энергосбережению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АУ "ЮКИОР"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 xml:space="preserve">бюджет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АУ КСК "Мустанг"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АУ "ЦСП по теннису"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АУ "ЮграМегаСпорт"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Развитие материально-технической базы муниципальных учреждений спорта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Депспорта, МО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2 418 608,3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882 105,6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1 164 940,0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99 343,0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114 325,0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157 894,7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построено 303 единицы спортивных сооружений, в том числе: 14 физкультурно-оздоровительных комплексов; 10 -спортивных залов; 9 плавательных бассейнов; 6 крытых хоккейных кортов;26 лыжных баз; 73 открытых плоскостных сооружения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2 075 289,7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833 404,7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888 900,0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94 376,0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108 609,0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150 000,0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143 318,6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48 700,9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76 040,0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4 967,0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5 716,0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7 894,7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Развитие материально-технической базы учреждений спорта автономного округа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Депспорта, Департамент строительства, энергетики и жилищно-коммунального комплекса автономного округа (далее - Депстро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ительства и ЖКХ)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4 704785,0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1 815 670,0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211 100,0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1 436 624,0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641 391,0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600 000,0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построены два региональных центра, три керлинг центра и проведена реконструкция центра лыжного спорта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700 000,0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3 379 115,0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1 694 000,0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56 100,0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387 624,0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641 391,0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600 000,0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программа "Сотрудничество"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625 670,0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121 670,0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349 000,0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12.1.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Строительство регионального центра единоборств, г.Ханты-Мансийск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Депспорта, Депстроительства и ЖКХ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316 100,0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6 100,0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216 100,0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6 100,0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12.2.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Реконструкция биатлонного центра в г. Ханты-Мансийске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Депспорта, Депстроительства и ЖКХ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1 684 000,0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1 684 000,0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12.3.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Центр зимних видов спорта г. Ханты-Мансийск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Депспорта, Депстроительства и ЖКХ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"Сотрудничество"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81 670,0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81 670,0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12.4.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Центр зимних видов спорта. Обеспечение инженерной инфраструктурой горнолыжного комплекса в г.Ханты-Мансийске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Депспорта, Депстроительства и ЖКХ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"Сотрудничество"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384 000,0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249 000,0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12.5.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Лыжный тренировочный тоннель, г. Ханты-Мансийск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Депспорта, Депстроительства и ЖКХ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Сотрудничество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160 000,0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12.6.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Строительство регионального центра "Центр спорта инвалидов", г.Сургут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Депспорта, Депстроительства и ЖКХ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1 179 015,0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627 624,0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231 391,0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300 000,0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679 015,0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127 624,0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231 391,0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300 000,0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12.7.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Строительство керлинг центра в г. Сургуте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Депспорта, Депстроительства и ЖКХ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430 000,0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250 000,0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330 000,0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12.8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Строительство керлинг центра в г. Ханты-Мансийске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Депспорта, Депстроительств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а и ЖКХ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310 000,0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150 000,0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12.9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Строительство керлинг центра в г. Нижневартовске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Депспорта, Депстроительства и ЖКХ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160 000,0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150 000,0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Приобретение типовых проектов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Итого по разделу 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7 410 323,5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2 802 505,8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1 439 740,0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1 575 467,0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795 216,0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797 394,7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5 728 834,9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2 619 634,9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1 008 700,0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521 500,0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789 500,0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789 500,0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155 818,6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61 200,9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76 040,0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4 967,0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5 716,0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7 894,7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программа "Сотрудничество"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625 670,0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121 670,0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349 000,0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918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</w:pPr>
            <w:r w:rsidRPr="00C51D66"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  <w:t>II. Цель: создание условий для подготовки спортивного резерва и спортсменов высокого класса, для успешного выступления на Всероссийских и Международных соревнованиях.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918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Раздел II "Детско-юношеский спорт, спорт лиц с инвалидностью и спорт высших достижений"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918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Задача N 1. Развитие детско-юношеского спорта, спорта лиц с инвалидностью и высших достижений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Проведение учебно-тренировочных сборов и участие юношеских сборных команд автономного округа по видам спорта во всероссийских и международных соревнованиях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343 679,6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77 179,6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59 500,0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69 000,0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69 000,0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69 000,0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увеличение количества занимающихся с 46 226 в 2010 году до 58 349 в 2015 году (на 12 123 чел.) в спортивных школах округа по 50 видам спорта. Обеспечение качественной подготовки к всероссийским и международным соревнования членов сборных команд автономного округа в возрасте до 18 лет. Успешное выступление в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летней и зимней Спартакиаде учащихся России, завоевание призовых мест в личных соревнованиях. Увеличение количества членов сборной юношеской команды России с 91 в 2009 году до 115 в 2011 году и 195 в 2015 году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Обеспечение спортивным оборудованием, экипировкой и инвентарем юношеских сборных команд автономного округа по видам спорта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60 054,0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22 554,0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7 500,0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создание условий для проведения эффективного учебно-тренировочного процесса, и возможность соревноваться в равных условиях с сильнейшими командами субъектов России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Субсидии муниципальным образованиям автономного округа для обеспечения учащихся СДЮСШОР, ДЮСШ, ДЮКФП, спортивным оборудованием, экипировкой и инвентарем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66 771,0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21 771,0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22 500,0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22 500,0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в автономном округе в спортивных школах занимается 46 226 детей, для подготовки спортивного резерва в сборные команды округа по видам спорта необходимо приобретение спортивного инвентаря. Решение данного вопроса улучшит качество проведения тренировок, создаст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возможность привлечения к занятиям большего числа детей. Объемы и перечень инвентаря определяется в соответствии с Табелем оснащенности спортивных объектов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Проведение учебно-тренировочных сборов и участие сборных команд автономного округа по видам спорта во всероссийских и международных соревнованиях среди спортсменов старше 18 лет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505 772,4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114 972,4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72 800,0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106 000,0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106 000,0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106 000,0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увеличение количества занимающихся в спортивных школах округа по 50 видам спорта за счет пропаганды звезд Югорского спорта, победителей и призеров Олимпийских игр, Чемпионатов мира и Европы. Обеспечение качественной подготовки к всероссийским и международным соревнованиям 800 членов сборных команд автономного округа в возрасте старше 18 лет. Успешное выступление в летней и зимней Спартакиаде молодежи России, Чемпионатах и Первенствах России, завоевание призовых мест в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личных и командных соревнованиях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Обеспечение спортивным оборудованием, экипировкой и инвентарем спортсменов сборных команд автономного округа по видам спорта старше 18 лет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110 610,1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29 610,1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21 000,0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20 000,0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создание условий для проведения эффективного учебно-тренировочного процесса, и возможность соревноваться в равных условиях с сильнейшими командами субъектов России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Государственная поддержка юридических лиц, осуществляющих развитие игровых, приоритетных видов спорта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960 000,0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230 000,0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ежегодно выделение средств не менее 600 млн. руб. на поддержку игровых и приоритетных видов спорта, увеличение кол-ва занимающихся на 2,0 %, проводить не менее 130 мероприятий по игровым видам спорта; попадание 10 спортсменов в состав сборных команд РФ; завоевание 4 медалей на ЧР; попадание 6 команд Югры в 10-ку лучших команд по видам спорта в РФ (высшей и суперлиги)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Страхование спортсменов, входящих в основной состав сборных команд автономного округа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в соответствии с требованиями Положение о проведении всероссийских соревнований по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видам спорта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Ежемесячные, единовременные выплаты стипендий, спортсменам и их тренерам, специалистам в области физической культуры и спорта по итогам выступлений на российских и международных соревнованиях по олимпийским, неолимпийским, паралимпийским, сурдлимпийским видам спорта, а также видам спорта, включенным в программу Всемирных специальных игр принимавшим непосредственное участие в подготовке спортсменов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268 030,0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47 000,0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54 530,0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56 500,0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55 000,0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55 000,0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количество получателей составит более 700 человек (спортсмены, тренеры, специалисты отрасли); в том числе ежемесячные - не менее 130 чел. от 4 до 50 тыс.руб.; единовременные не менее 570 чел. от 4 до 7 000 тыс.руб. в зависимости от результата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Проведение окружных, региональных, всероссийских соревнований по видам спорта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141 881,0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27 381,0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34 500,0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в 2011 году запланировано не менее 300 спортивных мероприятий, в 2015 до 380 мероприятий из них: комплексные Спартакиады: 14 мероприятий, количество участников 7510 спортсменов; окружные - 226 соревнований, количество участников 26230 спортсменов; всероссийские - 22 соревнования, количество участников 2200 спортсменов. Сравнивая с 2009 годом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спортивных мероприятий проведено не более 200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Проведение международных соревнований по видам спорта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605 825,2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226 805,2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100 500,0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98 320,0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90 100,0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90 100,0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ежегодно проводить не менее 3 международных спортивных мероприятий с участием 450 спортсменов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Развитие системы подготовки и переподготовки физкультурно-спортивных кадров для региона, формирование условий для непрерывного образования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27 675,6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7 075,6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5 300,0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5 300,0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5 000,0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оплата обучения в ВУЗах, СУЗах округа, до 80 человек ежегодно, стоимость 180 тыс. за 4-5 лет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Организация работы ведения спортивных паспортов, присвоение спортивных разрядов, званий, квалификационных категорий, аккредитации региональных федераций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согласно представленной информации муниципальными образованиями автономного округа по итогам 2010 года в детско-юношеских спортивных школах занимается 46 226 детей, в 2011 году ожидаемое количество детей составит 48 348 и 58 349 в 2015 году. Каждому спортсмен необходимо завести спортивный паспорт. Спортивных разрядов присвоено в 2009 году 11500 спортсменам, в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2011 году ожидается увеличение до12500 спортсменам. Спортивных званий присвоено 2009 году 60 спортсменам, в 2011 году ожидается до 82 и в 2015 году 116 присвоений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Научно-методическое и медицинское обеспечение сборных команд автономного округа по видам спорта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эффективное использование бюджетных средств за счет привлечения оптимального количества перспективных спортсменов, проведение углубленных медицинских обследований, работа комплексных научных групп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Обеспечение научно-методической литературой в области спортивной науки и медицины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обучение специалистов муниципальных образований, сборных команд округа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Проведение и участие в окружных, всероссийских и международных семинарах, конференциях по вопросам спортивной науки и медицины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Создание и внедрение единой централизованной информационной системы по сбору, учету интерпретации, хранению данных комплексных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обследований спортсменов Югры на этапах подготовки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3 200,0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отслеживание перспективных спортсменов с момента начала занятий в спортивных школах, сбор и анализ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информации для внесения корректировок процесс подготовки к соревнованиям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Проведение учебно-тренировочных сборов и участие сборных команд автономного округа во всероссийских и международных соревнованиях по видам спорта входящих в программу паралимпийских, сурдлимпийских игр, а также по Специальным видам спорта среди инвалидов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109 198,8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29 198,8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увеличение занимающихся среди лиц с инвалидностью с 4,3 % в 2009 году до 5,0 % в 2011 году и 10 % в 2015 году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Обеспечение спортивным оборудованием, экипировкой и инвентарем сборных команд автономного округа среди инвалидов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47 500,0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13 500,0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8 000,0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создание условий для проведения эффективного учебно-тренировочного процесса и возможности соревноваться в равных условиях с сильнейшими командами субъектов России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Итого по разделу II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3 265 497,7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1 356 347,7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653 130,0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435 020,0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410 500,0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410 500,0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Итого по Программе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10 675 821,2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4 158 853,5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2 092 870,0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2 010 487,0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1 205 716,0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1 207 894,7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900 000,0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8 994 332,6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3 975 982,6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1 661 830,0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956 520,0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1 200 000,0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1 200 000,0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155 818,6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61 200,9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76 040,0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4 967,0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5 716,0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7 894,7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программа "Сотрудничество"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625 670,0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121 670,0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349 000,0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67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инвестиции в объекты государственной и муниципальной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7 123 393,3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2 697 775,6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1 376 040,0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1 535 967,0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755 716,0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757 894,7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5 454 404,7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2 527 404,7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945 000,0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482 000,0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750 000,0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750 000,0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программа "Сотрудничество"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625 670,0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121 670,0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349 000,0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143 318,6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48 700,9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76 040,0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4 967,0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5 716,0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7 894,7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3 552 427,9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1 461 077,9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716 830,0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474 520,0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450 000,0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450 000,0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3 539 927,9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1 448 577,9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716 830,0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474 520,0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450 000,0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450 000,0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67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Департамент физической культуры и спорта автономного округа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3 489 927,9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1 398 577,9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716 830,0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474 520,0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450 000,0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450 000,0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Департамент строительства, энергетики и жилищно-коммунального комплекса автономного округа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4 704 785,0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1 815 670,0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211 100,0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1 436 624,0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641 391,0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600 000,0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700 000,0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3 379 115,0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1 694 000,0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56 100,0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387 624,0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641 391,0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600 000,0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программа "Сотрудничество"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625 670,0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121 670,0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349 000,0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2 481 108,3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944 605,6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1 164 940,0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99 343,0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114 325,0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157 894,7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2 125 289,7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883 404,7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888 900,0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94 376,0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108 609,0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150 000,0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155 818,6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61 200,9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76 040,0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4 967,0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5 716,0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7 894,7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bookmarkStart w:id="62" w:name="sub_300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begin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instrText>HYPERLINK "garantF1://18831363.128"</w:instrTex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separate"/>
      </w:r>
      <w:r w:rsidRPr="00C51D66">
        <w:rPr>
          <w:rFonts w:ascii="Arial" w:hAnsi="Arial" w:cs="Arial"/>
          <w:i/>
          <w:iCs/>
          <w:color w:val="008000"/>
          <w:sz w:val="24"/>
          <w:szCs w:val="24"/>
        </w:rPr>
        <w:t>Постановлением</w:t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fldChar w:fldCharType="end"/>
      </w:r>
      <w:r w:rsidRPr="00C51D66">
        <w:rPr>
          <w:rFonts w:ascii="Arial" w:hAnsi="Arial" w:cs="Arial"/>
          <w:i/>
          <w:iCs/>
          <w:color w:val="800080"/>
          <w:sz w:val="24"/>
          <w:szCs w:val="24"/>
        </w:rPr>
        <w:t xml:space="preserve"> Правительства Ханты-Мансийского АО - Югры от 3 ноября 2011 г. N 414-п в таблицу 3 настоящего приложения внесены изменения</w:t>
      </w:r>
    </w:p>
    <w:bookmarkEnd w:id="62"/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  <w:r w:rsidRPr="00C51D66">
        <w:rPr>
          <w:rFonts w:ascii="Arial" w:hAnsi="Arial" w:cs="Arial"/>
          <w:i/>
          <w:iCs/>
          <w:color w:val="800080"/>
          <w:sz w:val="24"/>
          <w:szCs w:val="24"/>
        </w:rPr>
        <w:lastRenderedPageBreak/>
        <w:t>См. текст таблицы в предыдущей редакции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Таблица 3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 xml:space="preserve">Критерии отбора для участия в целевой программе Ханты-Мансийского 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 xml:space="preserve">автономного округа - Югры "Развитие физической культуры и спорта 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>в Ханты-Мансийском автономном округе - Югре" на 2011-2013 годы и на период до 2015 года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Раздел I "Массовая физическая культура и спорт"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 xml:space="preserve">1.1. "Обеспечение комплексной безопасности и комфортных условий </w:t>
      </w:r>
      <w:r w:rsidRPr="00C51D66">
        <w:rPr>
          <w:rFonts w:ascii="Arial" w:hAnsi="Arial" w:cs="Arial"/>
          <w:b/>
          <w:bCs/>
          <w:color w:val="000080"/>
          <w:sz w:val="24"/>
          <w:szCs w:val="24"/>
        </w:rPr>
        <w:br/>
        <w:t>в учреждениях спорта"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360"/>
        <w:gridCol w:w="4060"/>
        <w:gridCol w:w="2380"/>
        <w:gridCol w:w="1540"/>
      </w:tblGrid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Критерии отбора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Нормативное обоснование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Способ определения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9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  <w:t>1.Техническая безопасность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9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  <w:t>1.1. Потребность в капитальном ремонте зданий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Физический износ здания и срок эксплуатации: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- деревянные здания с физическим износом от 21% до 60% и сроком эксплуатации 8-12 лет;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- каменных зданий с физическим износом от 21 до 60% и сроком эксплуатации для зданий, имеющих железобетонные перекрытия, 10-15 лет, деревянные перекрытия - 8-12 лет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37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технический регламент о безопасности зданий и сооружений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 (384-ФЗ от 30.12.2009)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38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ВСН - 58-88(р)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 "Положение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назначения"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39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ВСН - 53-86(р)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 "Правила оценки физического износа жилых зданий"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оценка Ростехинвентаризации (заключение)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Инженерно-техническое обследование независимой специализированной организации, имеющей допуск СРО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Наличие заключения независимой организации, подтверждающего необходимость проведения капитального ремонта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40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технический регламент о безопасности зданий и сооружений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 (384-ФЗ от 30.12.2009)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41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СНиП 2.08.02-89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 "Общественные здания и сооружения"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42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ВСН - 58-88(р)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 "Положение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назначения"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43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распоряжение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 Правительства РФ от 01.12.2009 N 1830-р "Об утверждении плана мероприятий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по энергосбережению и повышению энергетической эффективности в Российской Федерации"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инженерно-техническое обследование независимой специализированной организации, имеющей допуск СРО, энергетический аудит или тепловизионное обследование (заключение независимой организации)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Наличие предписаний надзорных органов (Госпожнадзора, Роспотребнадзора) капитального характера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44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СНиП 31-06-2009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 "Общественные здания и сооружения"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45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Технический регламент о требованиях пожарной безопасности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 (123-ФЗ от 22.07.2008), правила пожарной безопасности в Российской Федерации </w:t>
            </w:r>
            <w:hyperlink r:id="rId46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ППБ01-03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47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ППБ101-89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>, ППБ-01-08,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48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СанПиН 2.4.1.1249-03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49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2.4.2.1178-02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50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2.4.3.1186-03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51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2.4.1201-03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52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2.3.2.1940-05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53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2.1.8/2.2.4-2489-09</w:t>
              </w:r>
            </w:hyperlink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обследования надзорных органов (предписания)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Наличие предписаний надзорных органов в части благоустройства территорий (дорожное, тротуарное покрытие, подъездные пути к зданию, оборудование спортивных площадок, периметральное ограждение и освещение территории)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54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СанПиН 2.4.1.1249-03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55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2.4.2.1178-02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56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2.4.3.1186-03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57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2.4.1201-03</w:t>
              </w:r>
            </w:hyperlink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58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Технический регламент о требованиях пожарной безопасности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 (123-ФЗ от 22.07.2008), правила пожарной безопасности в Российской Федерации </w:t>
            </w:r>
            <w:hyperlink r:id="rId59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ППБ01-03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60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ППБ101-89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>, ППБ-01-08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протокол заседания Национального антитеррористического комитета от 5 июля 207 года N 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обследования надзорных органов (предписания)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9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  <w:t>1.2. Противопожарная безопасность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Отсутствие необходимого противопожарного оборудования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61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технический регламент о требованиях пожарной безопасности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 (123-ФЗ от 22.07.2008), правила пожарной безопасности в Российской Федерации </w:t>
            </w:r>
            <w:hyperlink r:id="rId62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ППБ01-03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63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ППБ101-89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>, ППБ-01-08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обследование территориального органа Госпожнадзора (предписания)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Несоответствие электропроводки здания современным требованиям безопасности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64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приказ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 Министерства РФ по делам гражданской обороны, чрезвычайным ситуациям и ликвидации последствий стихийных бедствий N 313 от 18.06.2003 "Об утверждении правил пожарной безопасности в Российской Федерации (ППБ01-03) </w:t>
            </w:r>
            <w:hyperlink r:id="rId65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пункт 57</w:t>
              </w:r>
            </w:hyperlink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имеющиеся акты замера сопротивления изоляции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9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  <w:t>1.3. Санитарно-эпидемиологическая безопасность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Отсутствие необходимого технологического и иного оборудования пищеблоков,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медицинских кабинетов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66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СанПиН 2.4.1.1249-03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67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2.4.2.1178-02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68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2.4.3.1186-03</w:t>
              </w:r>
            </w:hyperlink>
            <w:r w:rsidRPr="00C51D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69" w:history="1">
              <w:r w:rsidRPr="00C51D66">
                <w:rPr>
                  <w:rFonts w:ascii="Arial" w:hAnsi="Arial" w:cs="Arial"/>
                  <w:color w:val="008000"/>
                  <w:sz w:val="24"/>
                  <w:szCs w:val="24"/>
                </w:rPr>
                <w:t>2.4.1201-03</w:t>
              </w:r>
            </w:hyperlink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обследование территориального органа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Роспотребнадзора (предписания)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9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  <w:lastRenderedPageBreak/>
              <w:t>1.4. Антитеррористическая безопасность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Отсутствие системы видеонаблюдения и пропускного контроля, тревожной сигнализации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протокол заседания Национального антитеррористического комитета от 5 июля 207 года N 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обследование территориального отдела внутренних дел (заключение)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1D66" w:rsidRPr="00C51D66" w:rsidRDefault="00C51D66" w:rsidP="00C51D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C51D66">
        <w:rPr>
          <w:rFonts w:ascii="Arial" w:hAnsi="Arial" w:cs="Arial"/>
          <w:b/>
          <w:bCs/>
          <w:color w:val="000080"/>
          <w:sz w:val="24"/>
          <w:szCs w:val="24"/>
        </w:rPr>
        <w:t>1.2 "Развитие материально-технической базы муниципальных учреждений спорта"</w:t>
      </w:r>
    </w:p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4111"/>
        <w:gridCol w:w="2693"/>
        <w:gridCol w:w="1134"/>
      </w:tblGrid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Наименование требования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Нормативное обоснование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Способ определения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Обеспеченность ЕПС (единовременной пропускной способностью) в % от норматива, установленного в РФ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демографическая статистика, норматив потребности (распоряжение Правительства Российской Федерации N 1063-рп от 3.06.96 г.), заключение Ростехинвентаризации о физическом износе зданий, акт независимых организаций об аварийности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обеспеченность ЕПС определяется по формуле: В:(С х К:М) х 100% = А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 - 1820 ч/час, норматив установленный в РФ;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 - количество постоянного населения;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 - 10 000 населения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 - фактическая обеспеченность;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А - % обеспеченности от норматива в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9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  <w:t>1.2. Строительство спортивных залов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Обеспеченность, в % от норматива, установленного в РФ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демографическая статистика, норматив потребности (распоряжение Правительства Российской Федерации N 1063-рп от 3.06.96 г.), заключение Ростехинвентаризации о физическом износе зданий, акт независимых организаций об аварийности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обеспеченность спортивными залами определяется по формуле: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В:(С х К:М) х 100% = А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 - 3500 м. кв спортивных залов, норматив установленный в РФ;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 - количество постоянного населения;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 - 10 000 населения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 - фактическая обеспеченность;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А - % обеспеченности от норматива в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9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  <w:t>1.3. Строительство плавательных бассейнов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 xml:space="preserve">Обеспеченность, в % от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норматива, установленного в РФ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 xml:space="preserve">демографическая статистика,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норматив потребности (распоряжение Правительства Российской Федерации N 1063-рп от 3.06.96 г.), заключение Ростехинвентаризации о физическом износе зданий, акт независимых организаций об аварийности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обеспеченность </w:t>
            </w:r>
            <w:r w:rsidRPr="00C51D66">
              <w:rPr>
                <w:rFonts w:ascii="Arial" w:hAnsi="Arial" w:cs="Arial"/>
                <w:sz w:val="24"/>
                <w:szCs w:val="24"/>
              </w:rPr>
              <w:lastRenderedPageBreak/>
              <w:t>плавательными бассейнами определяется по формуле: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В:(С х К:М) х 100% = А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 - 750 м. кв зеркала воды, норматив установленный в РФ;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 - количество постоянного населения;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 - 10 000 населения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 - фактическая обеспеченность;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А - % обеспеченности от норматива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119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  <w:lastRenderedPageBreak/>
              <w:t>1.4. Строительство плоскостных сооружений</w:t>
            </w:r>
          </w:p>
        </w:tc>
      </w:tr>
      <w:tr w:rsidR="00C51D66" w:rsidRPr="00C51D6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Обеспеченность, в % от норматива, установленного в РФ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демографическая статистика, норматив потребности (распоряжение Правительства Российской Федерации N 1063-рп от 3.06.96 г.), заключение Ростехинвентаризации о физическом износе зданий, акт независимых организаций об аварийности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обеспеченность плоскостными сооружениями определяется по формуле: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В:(С х К:М) х 100% = А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С - 19500 м. кв, норматив установленный в РФ;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К - количество постоянного населения;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М - 10 000 населения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В - фактическая обеспеченность;</w:t>
            </w:r>
          </w:p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1D66">
              <w:rPr>
                <w:rFonts w:ascii="Arial" w:hAnsi="Arial" w:cs="Arial"/>
                <w:sz w:val="24"/>
                <w:szCs w:val="24"/>
              </w:rPr>
              <w:t>А - % обеспеченности от норматива в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66" w:rsidRPr="00C51D66" w:rsidRDefault="00C51D66" w:rsidP="00C51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51D66" w:rsidRPr="00C51D66" w:rsidRDefault="00C51D66" w:rsidP="00C51D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E189B" w:rsidRDefault="008E189B">
      <w:bookmarkStart w:id="63" w:name="_GoBack"/>
      <w:bookmarkEnd w:id="63"/>
    </w:p>
    <w:sectPr w:rsidR="008E189B" w:rsidSect="0044033F">
      <w:pgSz w:w="11904" w:h="16834"/>
      <w:pgMar w:top="1440" w:right="850" w:bottom="144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929"/>
    <w:rsid w:val="00304929"/>
    <w:rsid w:val="008E189B"/>
    <w:rsid w:val="00C5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51D6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C51D66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C51D6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51D6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51D66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C51D66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51D66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C51D66"/>
    <w:rPr>
      <w:rFonts w:ascii="Arial" w:hAnsi="Arial" w:cs="Arial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51D66"/>
  </w:style>
  <w:style w:type="character" w:customStyle="1" w:styleId="a3">
    <w:name w:val="Цветовое выделение"/>
    <w:uiPriority w:val="99"/>
    <w:rsid w:val="00C51D66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C51D66"/>
    <w:rPr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C51D66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Внимание: недобросовестность!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Основное меню (преемственное)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Verdana" w:hAnsi="Verdana" w:cs="Verdana"/>
      <w:sz w:val="24"/>
      <w:szCs w:val="24"/>
    </w:rPr>
  </w:style>
  <w:style w:type="paragraph" w:customStyle="1" w:styleId="a9">
    <w:name w:val="Заголовок"/>
    <w:basedOn w:val="a8"/>
    <w:next w:val="a"/>
    <w:uiPriority w:val="99"/>
    <w:rsid w:val="00C51D66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C51D66"/>
  </w:style>
  <w:style w:type="paragraph" w:customStyle="1" w:styleId="ab">
    <w:name w:val="Заголовок статьи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c">
    <w:name w:val="Заголовок чужого сообщения"/>
    <w:basedOn w:val="a3"/>
    <w:uiPriority w:val="99"/>
    <w:rsid w:val="00C51D66"/>
    <w:rPr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C51D66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F0F0F0"/>
    </w:rPr>
  </w:style>
  <w:style w:type="paragraph" w:customStyle="1" w:styleId="af">
    <w:name w:val="Комментарий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C51D66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2">
    <w:name w:val="Колонтитул (левый)"/>
    <w:basedOn w:val="af1"/>
    <w:next w:val="a"/>
    <w:uiPriority w:val="99"/>
    <w:rsid w:val="00C51D66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4">
    <w:name w:val="Колонтитул (правый)"/>
    <w:basedOn w:val="af3"/>
    <w:next w:val="a"/>
    <w:uiPriority w:val="99"/>
    <w:rsid w:val="00C51D66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C51D66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Моноширинный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customStyle="1" w:styleId="af8">
    <w:name w:val="Найденные слова"/>
    <w:basedOn w:val="a3"/>
    <w:uiPriority w:val="99"/>
    <w:rsid w:val="00C51D66"/>
  </w:style>
  <w:style w:type="character" w:customStyle="1" w:styleId="af9">
    <w:name w:val="Не вступил в силу"/>
    <w:basedOn w:val="a3"/>
    <w:uiPriority w:val="99"/>
    <w:rsid w:val="00C51D66"/>
    <w:rPr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b">
    <w:name w:val="Нормальный (таблица)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Объект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d">
    <w:name w:val="Таблицы (моноширинный)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afe">
    <w:name w:val="Оглавление"/>
    <w:basedOn w:val="afd"/>
    <w:next w:val="a"/>
    <w:uiPriority w:val="99"/>
    <w:rsid w:val="00C51D66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C51D66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C51D66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C51D66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3">
    <w:name w:val="Пример.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4">
    <w:name w:val="Примечание."/>
    <w:basedOn w:val="af"/>
    <w:next w:val="a"/>
    <w:uiPriority w:val="99"/>
    <w:rsid w:val="00C51D66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C51D66"/>
  </w:style>
  <w:style w:type="paragraph" w:customStyle="1" w:styleId="aff6">
    <w:name w:val="Словарная статья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7">
    <w:name w:val="Сравнение редакций"/>
    <w:basedOn w:val="a3"/>
    <w:uiPriority w:val="99"/>
    <w:rsid w:val="00C51D66"/>
  </w:style>
  <w:style w:type="character" w:customStyle="1" w:styleId="aff8">
    <w:name w:val="Сравнение редакций. Добавленный фрагмент"/>
    <w:uiPriority w:val="99"/>
    <w:rsid w:val="00C51D66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C51D66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fb">
    <w:name w:val="Текст в таблице"/>
    <w:basedOn w:val="afb"/>
    <w:next w:val="a"/>
    <w:uiPriority w:val="99"/>
    <w:rsid w:val="00C51D66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d">
    <w:name w:val="Утратил силу"/>
    <w:basedOn w:val="a3"/>
    <w:uiPriority w:val="99"/>
    <w:rsid w:val="00C51D66"/>
    <w:rPr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C51D66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51D6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C51D66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C51D6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51D6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51D66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C51D66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51D66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C51D66"/>
    <w:rPr>
      <w:rFonts w:ascii="Arial" w:hAnsi="Arial" w:cs="Arial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51D66"/>
  </w:style>
  <w:style w:type="character" w:customStyle="1" w:styleId="a3">
    <w:name w:val="Цветовое выделение"/>
    <w:uiPriority w:val="99"/>
    <w:rsid w:val="00C51D66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C51D66"/>
    <w:rPr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C51D66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Внимание: недобросовестность!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Основное меню (преемственное)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Verdana" w:hAnsi="Verdana" w:cs="Verdana"/>
      <w:sz w:val="24"/>
      <w:szCs w:val="24"/>
    </w:rPr>
  </w:style>
  <w:style w:type="paragraph" w:customStyle="1" w:styleId="a9">
    <w:name w:val="Заголовок"/>
    <w:basedOn w:val="a8"/>
    <w:next w:val="a"/>
    <w:uiPriority w:val="99"/>
    <w:rsid w:val="00C51D66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C51D66"/>
  </w:style>
  <w:style w:type="paragraph" w:customStyle="1" w:styleId="ab">
    <w:name w:val="Заголовок статьи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c">
    <w:name w:val="Заголовок чужого сообщения"/>
    <w:basedOn w:val="a3"/>
    <w:uiPriority w:val="99"/>
    <w:rsid w:val="00C51D66"/>
    <w:rPr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C51D66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F0F0F0"/>
    </w:rPr>
  </w:style>
  <w:style w:type="paragraph" w:customStyle="1" w:styleId="af">
    <w:name w:val="Комментарий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C51D66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2">
    <w:name w:val="Колонтитул (левый)"/>
    <w:basedOn w:val="af1"/>
    <w:next w:val="a"/>
    <w:uiPriority w:val="99"/>
    <w:rsid w:val="00C51D66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4">
    <w:name w:val="Колонтитул (правый)"/>
    <w:basedOn w:val="af3"/>
    <w:next w:val="a"/>
    <w:uiPriority w:val="99"/>
    <w:rsid w:val="00C51D66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C51D66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Моноширинный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customStyle="1" w:styleId="af8">
    <w:name w:val="Найденные слова"/>
    <w:basedOn w:val="a3"/>
    <w:uiPriority w:val="99"/>
    <w:rsid w:val="00C51D66"/>
  </w:style>
  <w:style w:type="character" w:customStyle="1" w:styleId="af9">
    <w:name w:val="Не вступил в силу"/>
    <w:basedOn w:val="a3"/>
    <w:uiPriority w:val="99"/>
    <w:rsid w:val="00C51D66"/>
    <w:rPr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b">
    <w:name w:val="Нормальный (таблица)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Объект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d">
    <w:name w:val="Таблицы (моноширинный)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afe">
    <w:name w:val="Оглавление"/>
    <w:basedOn w:val="afd"/>
    <w:next w:val="a"/>
    <w:uiPriority w:val="99"/>
    <w:rsid w:val="00C51D66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C51D66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C51D66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C51D66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3">
    <w:name w:val="Пример.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4">
    <w:name w:val="Примечание."/>
    <w:basedOn w:val="af"/>
    <w:next w:val="a"/>
    <w:uiPriority w:val="99"/>
    <w:rsid w:val="00C51D66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C51D66"/>
  </w:style>
  <w:style w:type="paragraph" w:customStyle="1" w:styleId="aff6">
    <w:name w:val="Словарная статья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7">
    <w:name w:val="Сравнение редакций"/>
    <w:basedOn w:val="a3"/>
    <w:uiPriority w:val="99"/>
    <w:rsid w:val="00C51D66"/>
  </w:style>
  <w:style w:type="character" w:customStyle="1" w:styleId="aff8">
    <w:name w:val="Сравнение редакций. Добавленный фрагмент"/>
    <w:uiPriority w:val="99"/>
    <w:rsid w:val="00C51D66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C51D66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fb">
    <w:name w:val="Текст в таблице"/>
    <w:basedOn w:val="afb"/>
    <w:next w:val="a"/>
    <w:uiPriority w:val="99"/>
    <w:rsid w:val="00C51D66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C51D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d">
    <w:name w:val="Утратил силу"/>
    <w:basedOn w:val="a3"/>
    <w:uiPriority w:val="99"/>
    <w:rsid w:val="00C51D66"/>
    <w:rPr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C51D66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8614304.10000" TargetMode="External"/><Relationship Id="rId18" Type="http://schemas.openxmlformats.org/officeDocument/2006/relationships/hyperlink" Target="garantF1://89071.0" TargetMode="External"/><Relationship Id="rId26" Type="http://schemas.openxmlformats.org/officeDocument/2006/relationships/image" Target="media/image4.emf"/><Relationship Id="rId39" Type="http://schemas.openxmlformats.org/officeDocument/2006/relationships/hyperlink" Target="garantF1://3822763.0" TargetMode="External"/><Relationship Id="rId21" Type="http://schemas.openxmlformats.org/officeDocument/2006/relationships/hyperlink" Target="garantF1://12017360.2000" TargetMode="External"/><Relationship Id="rId34" Type="http://schemas.openxmlformats.org/officeDocument/2006/relationships/hyperlink" Target="garantF1://5269952.0" TargetMode="External"/><Relationship Id="rId42" Type="http://schemas.openxmlformats.org/officeDocument/2006/relationships/hyperlink" Target="garantF1://2206626.0" TargetMode="External"/><Relationship Id="rId47" Type="http://schemas.openxmlformats.org/officeDocument/2006/relationships/hyperlink" Target="garantF1://85881.0" TargetMode="External"/><Relationship Id="rId50" Type="http://schemas.openxmlformats.org/officeDocument/2006/relationships/hyperlink" Target="garantF1://4078906.1000" TargetMode="External"/><Relationship Id="rId55" Type="http://schemas.openxmlformats.org/officeDocument/2006/relationships/hyperlink" Target="garantF1://4078779.1000" TargetMode="External"/><Relationship Id="rId63" Type="http://schemas.openxmlformats.org/officeDocument/2006/relationships/hyperlink" Target="garantF1://85881.0" TargetMode="External"/><Relationship Id="rId68" Type="http://schemas.openxmlformats.org/officeDocument/2006/relationships/hyperlink" Target="garantF1://4078906.1000" TargetMode="External"/><Relationship Id="rId7" Type="http://schemas.openxmlformats.org/officeDocument/2006/relationships/hyperlink" Target="garantF1://18823968.0" TargetMode="External"/><Relationship Id="rId71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garantF1://96059.1000" TargetMode="External"/><Relationship Id="rId29" Type="http://schemas.openxmlformats.org/officeDocument/2006/relationships/hyperlink" Target="garantF1://12079086.200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57560.0" TargetMode="External"/><Relationship Id="rId11" Type="http://schemas.openxmlformats.org/officeDocument/2006/relationships/hyperlink" Target="garantF1://18830529.11" TargetMode="External"/><Relationship Id="rId24" Type="http://schemas.openxmlformats.org/officeDocument/2006/relationships/image" Target="media/image3.emf"/><Relationship Id="rId32" Type="http://schemas.openxmlformats.org/officeDocument/2006/relationships/image" Target="media/image9.emf"/><Relationship Id="rId37" Type="http://schemas.openxmlformats.org/officeDocument/2006/relationships/hyperlink" Target="garantF1://12072032.0" TargetMode="External"/><Relationship Id="rId40" Type="http://schemas.openxmlformats.org/officeDocument/2006/relationships/hyperlink" Target="garantF1://12072032.0" TargetMode="External"/><Relationship Id="rId45" Type="http://schemas.openxmlformats.org/officeDocument/2006/relationships/hyperlink" Target="garantF1://12061584.0" TargetMode="External"/><Relationship Id="rId53" Type="http://schemas.openxmlformats.org/officeDocument/2006/relationships/hyperlink" Target="garantF1://12066510.1000" TargetMode="External"/><Relationship Id="rId58" Type="http://schemas.openxmlformats.org/officeDocument/2006/relationships/hyperlink" Target="garantF1://12061584.0" TargetMode="External"/><Relationship Id="rId66" Type="http://schemas.openxmlformats.org/officeDocument/2006/relationships/hyperlink" Target="garantF1://4079096.10000" TargetMode="External"/><Relationship Id="rId5" Type="http://schemas.openxmlformats.org/officeDocument/2006/relationships/hyperlink" Target="garantF1://18831363.1" TargetMode="External"/><Relationship Id="rId15" Type="http://schemas.openxmlformats.org/officeDocument/2006/relationships/hyperlink" Target="garantF1://94365.0" TargetMode="External"/><Relationship Id="rId23" Type="http://schemas.openxmlformats.org/officeDocument/2006/relationships/image" Target="media/image2.emf"/><Relationship Id="rId28" Type="http://schemas.openxmlformats.org/officeDocument/2006/relationships/image" Target="media/image6.emf"/><Relationship Id="rId36" Type="http://schemas.openxmlformats.org/officeDocument/2006/relationships/hyperlink" Target="garantF1://3000000.0" TargetMode="External"/><Relationship Id="rId49" Type="http://schemas.openxmlformats.org/officeDocument/2006/relationships/hyperlink" Target="garantF1://4078779.1000" TargetMode="External"/><Relationship Id="rId57" Type="http://schemas.openxmlformats.org/officeDocument/2006/relationships/hyperlink" Target="garantF1://4079029.1000" TargetMode="External"/><Relationship Id="rId61" Type="http://schemas.openxmlformats.org/officeDocument/2006/relationships/hyperlink" Target="garantF1://12061584.0" TargetMode="External"/><Relationship Id="rId10" Type="http://schemas.openxmlformats.org/officeDocument/2006/relationships/hyperlink" Target="garantF1://18906827.0" TargetMode="External"/><Relationship Id="rId19" Type="http://schemas.openxmlformats.org/officeDocument/2006/relationships/hyperlink" Target="garantF1://18815348.0" TargetMode="External"/><Relationship Id="rId31" Type="http://schemas.openxmlformats.org/officeDocument/2006/relationships/image" Target="media/image8.emf"/><Relationship Id="rId44" Type="http://schemas.openxmlformats.org/officeDocument/2006/relationships/hyperlink" Target="garantF1://6080507.0" TargetMode="External"/><Relationship Id="rId52" Type="http://schemas.openxmlformats.org/officeDocument/2006/relationships/hyperlink" Target="garantF1://12038699.10000" TargetMode="External"/><Relationship Id="rId60" Type="http://schemas.openxmlformats.org/officeDocument/2006/relationships/hyperlink" Target="garantF1://85881.0" TargetMode="External"/><Relationship Id="rId65" Type="http://schemas.openxmlformats.org/officeDocument/2006/relationships/hyperlink" Target="garantF1://86063.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9071.0" TargetMode="External"/><Relationship Id="rId14" Type="http://schemas.openxmlformats.org/officeDocument/2006/relationships/hyperlink" Target="garantF1://94365.1000" TargetMode="External"/><Relationship Id="rId22" Type="http://schemas.openxmlformats.org/officeDocument/2006/relationships/image" Target="media/image1.emf"/><Relationship Id="rId27" Type="http://schemas.openxmlformats.org/officeDocument/2006/relationships/image" Target="media/image5.emf"/><Relationship Id="rId30" Type="http://schemas.openxmlformats.org/officeDocument/2006/relationships/image" Target="media/image7.emf"/><Relationship Id="rId35" Type="http://schemas.openxmlformats.org/officeDocument/2006/relationships/hyperlink" Target="garantF1://2007557.0" TargetMode="External"/><Relationship Id="rId43" Type="http://schemas.openxmlformats.org/officeDocument/2006/relationships/hyperlink" Target="garantF1://6631326.0" TargetMode="External"/><Relationship Id="rId48" Type="http://schemas.openxmlformats.org/officeDocument/2006/relationships/hyperlink" Target="garantF1://4079096.10000" TargetMode="External"/><Relationship Id="rId56" Type="http://schemas.openxmlformats.org/officeDocument/2006/relationships/hyperlink" Target="garantF1://4078906.1000" TargetMode="External"/><Relationship Id="rId64" Type="http://schemas.openxmlformats.org/officeDocument/2006/relationships/hyperlink" Target="garantF1://86063.0" TargetMode="External"/><Relationship Id="rId69" Type="http://schemas.openxmlformats.org/officeDocument/2006/relationships/hyperlink" Target="garantF1://4079029.1000" TargetMode="External"/><Relationship Id="rId8" Type="http://schemas.openxmlformats.org/officeDocument/2006/relationships/hyperlink" Target="garantF1://89071.10000" TargetMode="External"/><Relationship Id="rId51" Type="http://schemas.openxmlformats.org/officeDocument/2006/relationships/hyperlink" Target="garantF1://4079029.1000" TargetMode="External"/><Relationship Id="rId3" Type="http://schemas.openxmlformats.org/officeDocument/2006/relationships/settings" Target="settings.xml"/><Relationship Id="rId12" Type="http://schemas.openxmlformats.org/officeDocument/2006/relationships/hyperlink" Target="garantF1://18829051.0" TargetMode="External"/><Relationship Id="rId17" Type="http://schemas.openxmlformats.org/officeDocument/2006/relationships/hyperlink" Target="garantF1://89071.10000" TargetMode="External"/><Relationship Id="rId25" Type="http://schemas.openxmlformats.org/officeDocument/2006/relationships/hyperlink" Target="garantF1://12079086.2000" TargetMode="External"/><Relationship Id="rId33" Type="http://schemas.openxmlformats.org/officeDocument/2006/relationships/image" Target="media/image10.emf"/><Relationship Id="rId38" Type="http://schemas.openxmlformats.org/officeDocument/2006/relationships/hyperlink" Target="garantF1://2206626.0" TargetMode="External"/><Relationship Id="rId46" Type="http://schemas.openxmlformats.org/officeDocument/2006/relationships/hyperlink" Target="garantF1://86063.1000" TargetMode="External"/><Relationship Id="rId59" Type="http://schemas.openxmlformats.org/officeDocument/2006/relationships/hyperlink" Target="garantF1://86063.1000" TargetMode="External"/><Relationship Id="rId67" Type="http://schemas.openxmlformats.org/officeDocument/2006/relationships/hyperlink" Target="garantF1://4078779.1000" TargetMode="External"/><Relationship Id="rId20" Type="http://schemas.openxmlformats.org/officeDocument/2006/relationships/hyperlink" Target="garantF1://18614304.10000" TargetMode="External"/><Relationship Id="rId41" Type="http://schemas.openxmlformats.org/officeDocument/2006/relationships/hyperlink" Target="garantF1://2205932.0" TargetMode="External"/><Relationship Id="rId54" Type="http://schemas.openxmlformats.org/officeDocument/2006/relationships/hyperlink" Target="garantF1://4079096.10000" TargetMode="External"/><Relationship Id="rId62" Type="http://schemas.openxmlformats.org/officeDocument/2006/relationships/hyperlink" Target="garantF1://86063.1000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12321</Words>
  <Characters>70232</Characters>
  <Application>Microsoft Office Word</Application>
  <DocSecurity>0</DocSecurity>
  <Lines>585</Lines>
  <Paragraphs>164</Paragraphs>
  <ScaleCrop>false</ScaleCrop>
  <Company/>
  <LinksUpToDate>false</LinksUpToDate>
  <CharactersWithSpaces>82389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2012-03-29T06:28:00Z</dcterms:created>
  <dcterms:modified xsi:type="dcterms:W3CDTF">2012-03-29T06:28:00Z</dcterms:modified>
</cp:coreProperties>
</file>